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07BD2" w14:textId="77777777" w:rsidR="005E7CFF" w:rsidRDefault="005E7CFF" w:rsidP="005E7CFF">
      <w:pPr>
        <w:spacing w:after="0" w:line="240" w:lineRule="auto"/>
        <w:ind w:left="709" w:right="566"/>
        <w:jc w:val="center"/>
        <w:outlineLvl w:val="0"/>
        <w:rPr>
          <w:rFonts w:ascii="Times New Roman" w:eastAsia="Times New Roman" w:hAnsi="Times New Roman" w:cs="Times New Roman"/>
          <w:b/>
          <w:color w:val="000000"/>
          <w:sz w:val="28"/>
          <w:szCs w:val="28"/>
        </w:rPr>
      </w:pPr>
      <w:bookmarkStart w:id="0" w:name="_Toc87267756"/>
    </w:p>
    <w:bookmarkEnd w:id="0"/>
    <w:p w14:paraId="67F6002F" w14:textId="65D378E9" w:rsidR="007010DE" w:rsidRDefault="00B07AF8" w:rsidP="007010DE">
      <w:pPr>
        <w:spacing w:after="0" w:line="288" w:lineRule="auto"/>
        <w:ind w:left="567" w:right="565"/>
        <w:jc w:val="center"/>
        <w:outlineLvl w:val="0"/>
        <w:rPr>
          <w:rFonts w:ascii="Times New Roman" w:hAnsi="Times New Roman" w:cs="Times New Roman"/>
          <w:b/>
          <w:bCs/>
          <w:sz w:val="28"/>
          <w:szCs w:val="28"/>
        </w:rPr>
      </w:pPr>
      <w:r w:rsidRPr="00B07AF8">
        <w:rPr>
          <w:rFonts w:ascii="Times New Roman" w:hAnsi="Times New Roman" w:cs="Times New Roman"/>
          <w:b/>
          <w:bCs/>
          <w:sz w:val="28"/>
          <w:szCs w:val="28"/>
        </w:rPr>
        <w:t xml:space="preserve">Предложения </w:t>
      </w:r>
      <w:r w:rsidR="005C7B35">
        <w:rPr>
          <w:rFonts w:ascii="Times New Roman" w:hAnsi="Times New Roman" w:cs="Times New Roman"/>
          <w:b/>
          <w:bCs/>
          <w:sz w:val="28"/>
          <w:szCs w:val="28"/>
        </w:rPr>
        <w:t>НИФИ</w:t>
      </w:r>
    </w:p>
    <w:p w14:paraId="2FF2A7D8" w14:textId="5CDB5833" w:rsidR="00007514" w:rsidRPr="00B07AF8" w:rsidRDefault="00B07AF8" w:rsidP="007010DE">
      <w:pPr>
        <w:spacing w:after="0" w:line="288" w:lineRule="auto"/>
        <w:ind w:left="567" w:right="565"/>
        <w:jc w:val="center"/>
        <w:outlineLvl w:val="0"/>
        <w:rPr>
          <w:rFonts w:ascii="Times New Roman" w:eastAsia="Times New Roman" w:hAnsi="Times New Roman" w:cs="Times New Roman"/>
          <w:b/>
          <w:color w:val="000000"/>
          <w:sz w:val="28"/>
          <w:szCs w:val="28"/>
        </w:rPr>
      </w:pPr>
      <w:r w:rsidRPr="00B07AF8">
        <w:rPr>
          <w:rFonts w:ascii="Times New Roman" w:hAnsi="Times New Roman" w:cs="Times New Roman"/>
          <w:b/>
          <w:bCs/>
          <w:sz w:val="28"/>
          <w:szCs w:val="28"/>
        </w:rPr>
        <w:t>по внесению изменений</w:t>
      </w:r>
      <w:r w:rsidR="007010DE">
        <w:rPr>
          <w:rFonts w:ascii="Times New Roman" w:hAnsi="Times New Roman" w:cs="Times New Roman"/>
          <w:b/>
          <w:bCs/>
          <w:sz w:val="28"/>
          <w:szCs w:val="28"/>
        </w:rPr>
        <w:t xml:space="preserve"> </w:t>
      </w:r>
      <w:r w:rsidRPr="00B07AF8">
        <w:rPr>
          <w:rFonts w:ascii="Times New Roman" w:hAnsi="Times New Roman" w:cs="Times New Roman"/>
          <w:b/>
          <w:bCs/>
          <w:sz w:val="28"/>
          <w:szCs w:val="28"/>
        </w:rPr>
        <w:t xml:space="preserve">в Методику составления рейтинга субъектов Российской Федерации по уровню открытости бюджетных данных </w:t>
      </w:r>
      <w:r w:rsidR="005C7B35">
        <w:rPr>
          <w:rFonts w:ascii="Times New Roman" w:hAnsi="Times New Roman" w:cs="Times New Roman"/>
          <w:b/>
          <w:bCs/>
          <w:sz w:val="28"/>
          <w:szCs w:val="28"/>
        </w:rPr>
        <w:t>для использования в</w:t>
      </w:r>
      <w:r w:rsidR="007010DE">
        <w:rPr>
          <w:rFonts w:ascii="Times New Roman" w:hAnsi="Times New Roman" w:cs="Times New Roman"/>
          <w:b/>
          <w:bCs/>
          <w:sz w:val="28"/>
          <w:szCs w:val="28"/>
        </w:rPr>
        <w:t xml:space="preserve"> 2022 год</w:t>
      </w:r>
      <w:r w:rsidR="005C7B35">
        <w:rPr>
          <w:rFonts w:ascii="Times New Roman" w:hAnsi="Times New Roman" w:cs="Times New Roman"/>
          <w:b/>
          <w:bCs/>
          <w:sz w:val="28"/>
          <w:szCs w:val="28"/>
        </w:rPr>
        <w:t>у</w:t>
      </w:r>
    </w:p>
    <w:p w14:paraId="5C8AB92D" w14:textId="77777777" w:rsidR="00B07AF8" w:rsidRDefault="00B07AF8" w:rsidP="00B07AF8">
      <w:pPr>
        <w:spacing w:after="0" w:line="360" w:lineRule="auto"/>
        <w:ind w:firstLine="709"/>
        <w:jc w:val="both"/>
        <w:rPr>
          <w:rFonts w:ascii="Times New Roman" w:eastAsia="Calibri" w:hAnsi="Times New Roman" w:cs="Times New Roman"/>
          <w:bCs/>
          <w:color w:val="000000"/>
          <w:sz w:val="28"/>
          <w:szCs w:val="28"/>
        </w:rPr>
      </w:pPr>
    </w:p>
    <w:p w14:paraId="0B1DC890" w14:textId="7CD2816B" w:rsidR="00007514" w:rsidRPr="00007514" w:rsidRDefault="00007514" w:rsidP="00B07AF8">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Предложения </w:t>
      </w:r>
      <w:r w:rsidR="005C7B35">
        <w:rPr>
          <w:rFonts w:ascii="Times New Roman" w:eastAsia="Calibri" w:hAnsi="Times New Roman" w:cs="Times New Roman"/>
          <w:bCs/>
          <w:color w:val="000000"/>
          <w:sz w:val="28"/>
          <w:szCs w:val="28"/>
        </w:rPr>
        <w:t xml:space="preserve">НИФИ </w:t>
      </w:r>
      <w:bookmarkStart w:id="1" w:name="_GoBack"/>
      <w:bookmarkEnd w:id="1"/>
      <w:r w:rsidR="00B07AF8">
        <w:rPr>
          <w:rFonts w:ascii="Times New Roman" w:eastAsia="Calibri" w:hAnsi="Times New Roman" w:cs="Times New Roman"/>
          <w:bCs/>
          <w:color w:val="000000"/>
          <w:sz w:val="28"/>
          <w:szCs w:val="28"/>
        </w:rPr>
        <w:t xml:space="preserve">по внесению изменений в Методику составления рейтинга субъектов Российской Федерации по уровню открытости бюджетных данных </w:t>
      </w:r>
      <w:r w:rsidR="007010DE">
        <w:rPr>
          <w:rFonts w:ascii="Times New Roman" w:eastAsia="Calibri" w:hAnsi="Times New Roman" w:cs="Times New Roman"/>
          <w:bCs/>
          <w:color w:val="000000"/>
          <w:sz w:val="28"/>
          <w:szCs w:val="28"/>
        </w:rPr>
        <w:t>за 2022 год</w:t>
      </w:r>
      <w:r w:rsidRPr="00007514">
        <w:rPr>
          <w:rFonts w:ascii="Times New Roman" w:eastAsia="Calibri" w:hAnsi="Times New Roman" w:cs="Times New Roman"/>
          <w:bCs/>
          <w:color w:val="000000"/>
          <w:sz w:val="28"/>
          <w:szCs w:val="28"/>
        </w:rPr>
        <w:t xml:space="preserve"> разработаны на основе опыта, полученного в ходе составления рейтинга открытости в 2021 году, а также с учетом достигнутых субъектами Российской Федерации результатов </w:t>
      </w:r>
      <w:r w:rsidR="006B6842">
        <w:rPr>
          <w:rFonts w:ascii="Times New Roman" w:eastAsia="Calibri" w:hAnsi="Times New Roman" w:cs="Times New Roman"/>
          <w:bCs/>
          <w:color w:val="000000"/>
          <w:sz w:val="28"/>
          <w:szCs w:val="28"/>
        </w:rPr>
        <w:t>по</w:t>
      </w:r>
      <w:r w:rsidRPr="00CC5D59">
        <w:rPr>
          <w:rFonts w:ascii="Times New Roman" w:eastAsia="Calibri" w:hAnsi="Times New Roman" w:cs="Times New Roman"/>
          <w:bCs/>
          <w:color w:val="FF0000"/>
          <w:sz w:val="28"/>
          <w:szCs w:val="28"/>
        </w:rPr>
        <w:t xml:space="preserve"> </w:t>
      </w:r>
      <w:r w:rsidRPr="00007514">
        <w:rPr>
          <w:rFonts w:ascii="Times New Roman" w:eastAsia="Calibri" w:hAnsi="Times New Roman" w:cs="Times New Roman"/>
          <w:bCs/>
          <w:color w:val="000000"/>
          <w:sz w:val="28"/>
          <w:szCs w:val="28"/>
        </w:rPr>
        <w:t>открытости бюджетных данных. Кроме того, приняты во внимание изменения в методике последнего расчета индекса открытости бюджета, проведенного Международным бюджетным партнерством</w:t>
      </w:r>
      <w:r>
        <w:rPr>
          <w:rStyle w:val="a5"/>
          <w:rFonts w:ascii="Times New Roman" w:eastAsia="Calibri" w:hAnsi="Times New Roman" w:cs="Times New Roman"/>
          <w:bCs/>
          <w:color w:val="000000"/>
          <w:sz w:val="28"/>
          <w:szCs w:val="28"/>
        </w:rPr>
        <w:footnoteReference w:id="1"/>
      </w:r>
      <w:r w:rsidRPr="00007514">
        <w:rPr>
          <w:rFonts w:ascii="Times New Roman" w:eastAsia="Calibri" w:hAnsi="Times New Roman" w:cs="Times New Roman"/>
          <w:bCs/>
          <w:color w:val="000000"/>
          <w:sz w:val="28"/>
          <w:szCs w:val="28"/>
        </w:rPr>
        <w:t>. Предметом совершенствования является Методика составления рейтинга субъектов Российской Федерации по уровню открытости бюджетных данных за 2021 год</w:t>
      </w:r>
      <w:r>
        <w:rPr>
          <w:rStyle w:val="a5"/>
          <w:rFonts w:ascii="Times New Roman" w:eastAsia="Calibri" w:hAnsi="Times New Roman" w:cs="Times New Roman"/>
          <w:bCs/>
          <w:color w:val="000000"/>
          <w:sz w:val="28"/>
          <w:szCs w:val="28"/>
        </w:rPr>
        <w:footnoteReference w:id="2"/>
      </w:r>
      <w:r w:rsidRPr="00007514">
        <w:rPr>
          <w:rFonts w:ascii="Times New Roman" w:eastAsia="Calibri" w:hAnsi="Times New Roman" w:cs="Times New Roman"/>
          <w:bCs/>
          <w:color w:val="000000"/>
          <w:sz w:val="28"/>
          <w:szCs w:val="28"/>
        </w:rPr>
        <w:t>.</w:t>
      </w:r>
    </w:p>
    <w:p w14:paraId="10A3ED8B"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Предлагаются следующие изменения.</w:t>
      </w:r>
    </w:p>
    <w:p w14:paraId="2EFD7DCD" w14:textId="77777777" w:rsidR="00221876" w:rsidRPr="00B07AF8" w:rsidRDefault="00007514" w:rsidP="00221876">
      <w:pPr>
        <w:pStyle w:val="a7"/>
        <w:numPr>
          <w:ilvl w:val="0"/>
          <w:numId w:val="18"/>
        </w:numPr>
        <w:tabs>
          <w:tab w:val="left" w:pos="1134"/>
        </w:tabs>
        <w:ind w:left="0" w:firstLine="709"/>
        <w:rPr>
          <w:rFonts w:eastAsia="Calibri" w:cs="Times New Roman"/>
          <w:b/>
          <w:bCs/>
          <w:color w:val="000000"/>
          <w:lang w:val="ru-RU"/>
        </w:rPr>
      </w:pPr>
      <w:r w:rsidRPr="00B07AF8">
        <w:rPr>
          <w:rFonts w:eastAsia="Calibri" w:cs="Times New Roman"/>
          <w:b/>
          <w:bCs/>
          <w:color w:val="000000"/>
          <w:lang w:val="ru-RU"/>
        </w:rPr>
        <w:t>Предложение в части организации работ по составлению рейтинга</w:t>
      </w:r>
    </w:p>
    <w:p w14:paraId="7BDCADEE" w14:textId="2A41C4AE" w:rsidR="00007514" w:rsidRPr="00221876" w:rsidRDefault="0081480D" w:rsidP="00221876">
      <w:pPr>
        <w:pStyle w:val="a7"/>
        <w:tabs>
          <w:tab w:val="left" w:pos="1134"/>
        </w:tabs>
        <w:ind w:left="0" w:firstLine="709"/>
        <w:rPr>
          <w:rFonts w:eastAsia="Calibri" w:cs="Times New Roman"/>
          <w:bCs/>
          <w:color w:val="000000"/>
          <w:lang w:val="ru-RU"/>
        </w:rPr>
      </w:pPr>
      <w:r>
        <w:rPr>
          <w:rFonts w:eastAsia="Calibri" w:cs="Times New Roman"/>
          <w:bCs/>
          <w:color w:val="000000"/>
          <w:lang w:val="ru-RU"/>
        </w:rPr>
        <w:t>Предлагается д</w:t>
      </w:r>
      <w:r w:rsidR="00007514" w:rsidRPr="00221876">
        <w:rPr>
          <w:rFonts w:eastAsia="Calibri" w:cs="Times New Roman"/>
          <w:bCs/>
          <w:color w:val="000000"/>
          <w:lang w:val="ru-RU"/>
        </w:rPr>
        <w:t xml:space="preserve">ополнить механизм составления рейтинга субъектов Российской Федерации по уровню открытости бюджетных данных (далее – рейтинг открытости) процедурой обсуждения с финансовыми органами субъектов Российской Федерации расчетов, выполненных по разделам рейтинга открытости, до публикации соответствующих расчетов в открытом доступе. </w:t>
      </w:r>
    </w:p>
    <w:p w14:paraId="5C098BC1"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lastRenderedPageBreak/>
        <w:t xml:space="preserve">Реализация данного предложения предоставит возможность финансовым органам субъектов Российской Федерации аргументировать свою позицию в случае несогласия с оценками. </w:t>
      </w:r>
    </w:p>
    <w:p w14:paraId="75435489"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Процедуру обсуждения предлагается ограничить по времени: предусмотреть на представление замечаний и предложений до 10 рабочих дней со дня доведения информации до финансовых органов субъектов Российской Федерации. В качестве способа доведения информации с расчетами, выполненными по разделам рейтинга открытости, предлагается использовать официальные адреса электронной почты финансовых органов субъектов Российской Федерации, а также канал «Открытый бюджет» в социальной сети «</w:t>
      </w:r>
      <w:r w:rsidRPr="00007514">
        <w:rPr>
          <w:rFonts w:ascii="Times New Roman" w:eastAsia="Calibri" w:hAnsi="Times New Roman" w:cs="Times New Roman"/>
          <w:bCs/>
          <w:color w:val="000000"/>
          <w:sz w:val="28"/>
          <w:szCs w:val="28"/>
          <w:lang w:val="en-US"/>
        </w:rPr>
        <w:t>Telegram</w:t>
      </w:r>
      <w:r w:rsidRPr="00007514">
        <w:rPr>
          <w:rFonts w:ascii="Times New Roman" w:eastAsia="Calibri" w:hAnsi="Times New Roman" w:cs="Times New Roman"/>
          <w:bCs/>
          <w:color w:val="000000"/>
          <w:sz w:val="28"/>
          <w:szCs w:val="28"/>
        </w:rPr>
        <w:t>».</w:t>
      </w:r>
    </w:p>
    <w:p w14:paraId="330EFB6A"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Реализация данного предложения потребует внесения изменений в Техническое задание на выполнение работы по научно-методическому обеспечению «Анализ и оценка уровня открытости бюджетных данных субъектов</w:t>
      </w:r>
      <w:r w:rsidRPr="00007514">
        <w:rPr>
          <w:rFonts w:ascii="Times New Roman" w:eastAsia="Calibri" w:hAnsi="Times New Roman" w:cs="Times New Roman"/>
          <w:bCs/>
          <w:color w:val="000000"/>
          <w:sz w:val="28"/>
          <w:szCs w:val="28"/>
          <w:lang w:val="en-US"/>
        </w:rPr>
        <w:t> </w:t>
      </w:r>
      <w:r w:rsidRPr="00007514">
        <w:rPr>
          <w:rFonts w:ascii="Times New Roman" w:eastAsia="Calibri" w:hAnsi="Times New Roman" w:cs="Times New Roman"/>
          <w:bCs/>
          <w:color w:val="000000"/>
          <w:sz w:val="28"/>
          <w:szCs w:val="28"/>
        </w:rPr>
        <w:t>Российской Федерации в 2022–2024 годах» в части сроков выполнения работ. Также потребуется внесение изменений в пункт 4.1 приказа Минфина России от 03.12.2010 № 552 (ред. от 30.07.2021) «О Порядке осуществления мониторинга и оценки качества управления региональными финансами» в части срока представления в Департамент межбюджетных отношений Минфина России информации о количестве баллов, набранных субъектами Российской Федерации в ходе проведения мониторинга и составления рейтинга открытости, а также расчета суммы набранных баллов.</w:t>
      </w:r>
    </w:p>
    <w:p w14:paraId="0E93E1B4" w14:textId="60843C91" w:rsidR="0081480D" w:rsidRPr="00E4286C" w:rsidRDefault="00007514" w:rsidP="00E4286C">
      <w:pPr>
        <w:pStyle w:val="a7"/>
        <w:keepNext/>
        <w:numPr>
          <w:ilvl w:val="0"/>
          <w:numId w:val="18"/>
        </w:numPr>
        <w:tabs>
          <w:tab w:val="left" w:pos="1134"/>
        </w:tabs>
        <w:spacing w:before="120"/>
        <w:ind w:left="0" w:firstLine="709"/>
        <w:rPr>
          <w:rFonts w:eastAsia="Calibri" w:cs="Times New Roman"/>
          <w:b/>
          <w:bCs/>
          <w:color w:val="000000"/>
          <w:lang w:val="ru-RU"/>
        </w:rPr>
      </w:pPr>
      <w:r w:rsidRPr="00E4286C">
        <w:rPr>
          <w:rFonts w:eastAsia="Calibri" w:cs="Times New Roman"/>
          <w:b/>
          <w:bCs/>
          <w:color w:val="000000"/>
          <w:lang w:val="ru-RU"/>
        </w:rPr>
        <w:t>Предложение по форматам размещаемых в открытом доступе цифровых данных</w:t>
      </w:r>
      <w:r w:rsidR="00C35AAE" w:rsidRPr="00E4286C">
        <w:rPr>
          <w:rFonts w:eastAsia="Calibri" w:cs="Times New Roman"/>
          <w:b/>
          <w:bCs/>
          <w:color w:val="000000"/>
          <w:lang w:val="ru-RU"/>
        </w:rPr>
        <w:t xml:space="preserve"> аналитического характера</w:t>
      </w:r>
    </w:p>
    <w:p w14:paraId="1F4FECF8" w14:textId="77777777" w:rsidR="00B70C39" w:rsidRDefault="0081480D" w:rsidP="00AA5213">
      <w:pPr>
        <w:tabs>
          <w:tab w:val="left" w:pos="1134"/>
        </w:tabs>
        <w:spacing w:after="0" w:line="360" w:lineRule="auto"/>
        <w:ind w:firstLine="709"/>
        <w:jc w:val="both"/>
        <w:rPr>
          <w:rFonts w:ascii="Times New Roman" w:eastAsia="Calibri" w:hAnsi="Times New Roman" w:cs="Arial"/>
          <w:color w:val="000000"/>
          <w:sz w:val="28"/>
          <w:szCs w:val="28"/>
        </w:rPr>
      </w:pPr>
      <w:r>
        <w:rPr>
          <w:rFonts w:ascii="Times New Roman" w:eastAsia="Calibri" w:hAnsi="Times New Roman" w:cs="Arial"/>
          <w:color w:val="000000"/>
          <w:sz w:val="28"/>
          <w:szCs w:val="28"/>
        </w:rPr>
        <w:t xml:space="preserve">Предлагается </w:t>
      </w:r>
      <w:r w:rsidR="00007514" w:rsidRPr="00007514">
        <w:rPr>
          <w:rFonts w:ascii="Times New Roman" w:eastAsia="Calibri" w:hAnsi="Times New Roman" w:cs="Arial"/>
          <w:color w:val="000000"/>
          <w:sz w:val="28"/>
          <w:szCs w:val="28"/>
        </w:rPr>
        <w:t xml:space="preserve">при оценке показателей рейтинга открытости </w:t>
      </w:r>
      <w:r w:rsidR="00CC5D59">
        <w:rPr>
          <w:rFonts w:ascii="Times New Roman" w:eastAsia="Calibri" w:hAnsi="Times New Roman" w:cs="Arial"/>
          <w:color w:val="000000"/>
          <w:sz w:val="28"/>
          <w:szCs w:val="28"/>
        </w:rPr>
        <w:t>у</w:t>
      </w:r>
      <w:r w:rsidR="00CC5D59" w:rsidRPr="00007514">
        <w:rPr>
          <w:rFonts w:ascii="Times New Roman" w:eastAsia="Calibri" w:hAnsi="Times New Roman" w:cs="Arial"/>
          <w:color w:val="000000"/>
          <w:sz w:val="28"/>
          <w:szCs w:val="28"/>
        </w:rPr>
        <w:t xml:space="preserve">читывать </w:t>
      </w:r>
      <w:r w:rsidR="00007514" w:rsidRPr="00007514">
        <w:rPr>
          <w:rFonts w:ascii="Times New Roman" w:eastAsia="Calibri" w:hAnsi="Times New Roman" w:cs="Arial"/>
          <w:color w:val="000000"/>
          <w:sz w:val="28"/>
          <w:szCs w:val="28"/>
        </w:rPr>
        <w:t>формат, используемый для публикации цифровых данных</w:t>
      </w:r>
      <w:r w:rsidR="00C35AAE">
        <w:rPr>
          <w:rFonts w:ascii="Times New Roman" w:eastAsia="Calibri" w:hAnsi="Times New Roman" w:cs="Arial"/>
          <w:color w:val="000000"/>
          <w:sz w:val="28"/>
          <w:szCs w:val="28"/>
        </w:rPr>
        <w:t xml:space="preserve"> аналитического характера</w:t>
      </w:r>
      <w:r w:rsidR="00007514" w:rsidRPr="00007514">
        <w:rPr>
          <w:rFonts w:ascii="Times New Roman" w:eastAsia="Calibri" w:hAnsi="Times New Roman" w:cs="Arial"/>
          <w:color w:val="000000"/>
          <w:sz w:val="28"/>
          <w:szCs w:val="28"/>
        </w:rPr>
        <w:t xml:space="preserve">. </w:t>
      </w:r>
      <w:r w:rsidR="00B70C39">
        <w:rPr>
          <w:rFonts w:ascii="Times New Roman" w:eastAsia="Calibri" w:hAnsi="Times New Roman" w:cs="Arial"/>
          <w:color w:val="000000"/>
          <w:sz w:val="28"/>
          <w:szCs w:val="28"/>
        </w:rPr>
        <w:t xml:space="preserve">Для этого: </w:t>
      </w:r>
    </w:p>
    <w:p w14:paraId="79678D4C" w14:textId="395B0D38" w:rsidR="00B70C39" w:rsidRPr="00960F1F" w:rsidRDefault="00B70C39" w:rsidP="00B70C39">
      <w:pPr>
        <w:pStyle w:val="a7"/>
        <w:numPr>
          <w:ilvl w:val="0"/>
          <w:numId w:val="22"/>
        </w:numPr>
        <w:tabs>
          <w:tab w:val="left" w:pos="993"/>
        </w:tabs>
        <w:ind w:left="0" w:firstLine="709"/>
        <w:rPr>
          <w:rFonts w:eastAsia="Calibri" w:cs="Arial"/>
          <w:color w:val="000000"/>
          <w:lang w:val="ru-RU"/>
        </w:rPr>
      </w:pPr>
      <w:r w:rsidRPr="00960F1F">
        <w:rPr>
          <w:rFonts w:eastAsia="Calibri" w:cs="Arial"/>
          <w:color w:val="000000"/>
          <w:lang w:val="ru-RU"/>
        </w:rPr>
        <w:t>п</w:t>
      </w:r>
      <w:r w:rsidR="00007514" w:rsidRPr="00960F1F">
        <w:rPr>
          <w:rFonts w:eastAsia="Calibri" w:cs="Arial"/>
          <w:color w:val="000000"/>
          <w:lang w:val="ru-RU"/>
        </w:rPr>
        <w:t xml:space="preserve">редставление цифровых данных </w:t>
      </w:r>
      <w:r w:rsidR="00C35AAE" w:rsidRPr="00960F1F">
        <w:rPr>
          <w:rFonts w:eastAsia="Calibri" w:cs="Arial"/>
          <w:color w:val="000000"/>
          <w:lang w:val="ru-RU"/>
        </w:rPr>
        <w:t xml:space="preserve">аналитического характера </w:t>
      </w:r>
      <w:r w:rsidR="00007514" w:rsidRPr="00960F1F">
        <w:rPr>
          <w:rFonts w:eastAsia="Calibri" w:cs="Arial"/>
          <w:color w:val="000000"/>
          <w:lang w:val="ru-RU"/>
        </w:rPr>
        <w:t xml:space="preserve">в </w:t>
      </w:r>
      <w:r w:rsidRPr="00960F1F">
        <w:rPr>
          <w:rFonts w:eastAsia="Calibri" w:cs="Arial"/>
          <w:color w:val="000000"/>
          <w:lang w:val="ru-RU"/>
        </w:rPr>
        <w:t>формате электронных таблиц</w:t>
      </w:r>
      <w:r w:rsidR="00007514" w:rsidRPr="00960F1F">
        <w:rPr>
          <w:rFonts w:eastAsia="Calibri" w:cs="Arial"/>
          <w:color w:val="000000"/>
          <w:lang w:val="ru-RU"/>
        </w:rPr>
        <w:t xml:space="preserve"> считать надлежащей практикой</w:t>
      </w:r>
      <w:r w:rsidRPr="00960F1F">
        <w:rPr>
          <w:rFonts w:eastAsia="Calibri" w:cs="Arial"/>
          <w:color w:val="000000"/>
          <w:lang w:val="ru-RU"/>
        </w:rPr>
        <w:t>;</w:t>
      </w:r>
    </w:p>
    <w:p w14:paraId="0DEAF948" w14:textId="59C196ED" w:rsidR="00B70C39" w:rsidRPr="00960F1F" w:rsidRDefault="00B70C39" w:rsidP="00B70C39">
      <w:pPr>
        <w:pStyle w:val="a7"/>
        <w:numPr>
          <w:ilvl w:val="0"/>
          <w:numId w:val="22"/>
        </w:numPr>
        <w:tabs>
          <w:tab w:val="left" w:pos="993"/>
        </w:tabs>
        <w:ind w:left="0" w:firstLine="709"/>
        <w:rPr>
          <w:rFonts w:eastAsia="Calibri" w:cs="Arial"/>
          <w:color w:val="000000"/>
          <w:lang w:val="ru-RU"/>
        </w:rPr>
      </w:pPr>
      <w:r w:rsidRPr="00960F1F">
        <w:rPr>
          <w:rFonts w:eastAsia="Calibri" w:cs="Arial"/>
          <w:color w:val="000000"/>
          <w:lang w:val="ru-RU"/>
        </w:rPr>
        <w:lastRenderedPageBreak/>
        <w:t>з</w:t>
      </w:r>
      <w:r w:rsidR="00007514" w:rsidRPr="00960F1F">
        <w:rPr>
          <w:rFonts w:eastAsia="Calibri" w:cs="Arial"/>
          <w:color w:val="000000"/>
          <w:lang w:val="ru-RU"/>
        </w:rPr>
        <w:t>а представление цифровых данных</w:t>
      </w:r>
      <w:r w:rsidR="00C35AAE" w:rsidRPr="00960F1F">
        <w:rPr>
          <w:rFonts w:eastAsia="Calibri" w:cs="Arial"/>
          <w:color w:val="000000"/>
          <w:lang w:val="ru-RU"/>
        </w:rPr>
        <w:t xml:space="preserve"> аналитического характера</w:t>
      </w:r>
      <w:r w:rsidR="00007514" w:rsidRPr="00960F1F">
        <w:rPr>
          <w:rFonts w:eastAsia="Calibri" w:cs="Arial"/>
          <w:color w:val="000000"/>
          <w:lang w:val="ru-RU"/>
        </w:rPr>
        <w:t xml:space="preserve"> в форматах, которые не являются </w:t>
      </w:r>
      <w:r w:rsidR="00960F1F">
        <w:rPr>
          <w:rFonts w:eastAsia="Calibri" w:cs="Arial"/>
          <w:color w:val="000000"/>
          <w:lang w:val="ru-RU"/>
        </w:rPr>
        <w:t>электронными таблицами</w:t>
      </w:r>
      <w:r w:rsidR="00960F1F" w:rsidRPr="00960F1F">
        <w:rPr>
          <w:rFonts w:eastAsia="Calibri" w:cs="Arial"/>
          <w:color w:val="000000"/>
          <w:lang w:val="ru-RU"/>
        </w:rPr>
        <w:t xml:space="preserve"> </w:t>
      </w:r>
      <w:r w:rsidR="00007514" w:rsidRPr="00960F1F">
        <w:rPr>
          <w:rFonts w:eastAsia="Calibri" w:cs="Arial"/>
          <w:color w:val="000000"/>
          <w:lang w:val="ru-RU"/>
        </w:rPr>
        <w:t>применять понижающий коэффициент, используемый в связи с представлением данных в неструктурированном виде и (или) в форматах, затрудняющих их поиск и (или) использование (К2)</w:t>
      </w:r>
      <w:r w:rsidRPr="00960F1F">
        <w:rPr>
          <w:rFonts w:eastAsia="Calibri" w:cs="Arial"/>
          <w:color w:val="000000"/>
          <w:lang w:val="ru-RU"/>
        </w:rPr>
        <w:t>;</w:t>
      </w:r>
    </w:p>
    <w:p w14:paraId="60CFDDDC" w14:textId="045753E5" w:rsidR="00007514" w:rsidRPr="00960F1F" w:rsidRDefault="00960F1F" w:rsidP="00B70C39">
      <w:pPr>
        <w:pStyle w:val="a7"/>
        <w:numPr>
          <w:ilvl w:val="0"/>
          <w:numId w:val="22"/>
        </w:numPr>
        <w:tabs>
          <w:tab w:val="left" w:pos="993"/>
        </w:tabs>
        <w:ind w:left="0" w:firstLine="709"/>
        <w:rPr>
          <w:rFonts w:eastAsia="Calibri" w:cs="Arial"/>
          <w:color w:val="000000"/>
          <w:lang w:val="ru-RU"/>
        </w:rPr>
      </w:pPr>
      <w:r>
        <w:rPr>
          <w:rFonts w:eastAsia="Calibri" w:cs="Arial"/>
          <w:color w:val="000000"/>
          <w:lang w:val="ru-RU"/>
        </w:rPr>
        <w:t>по</w:t>
      </w:r>
      <w:r w:rsidRPr="00960F1F">
        <w:rPr>
          <w:rFonts w:eastAsia="Calibri" w:cs="Arial"/>
          <w:color w:val="000000"/>
          <w:lang w:val="ru-RU"/>
        </w:rPr>
        <w:t xml:space="preserve"> отдельны</w:t>
      </w:r>
      <w:r>
        <w:rPr>
          <w:rFonts w:eastAsia="Calibri" w:cs="Arial"/>
          <w:color w:val="000000"/>
          <w:lang w:val="ru-RU"/>
        </w:rPr>
        <w:t>м</w:t>
      </w:r>
      <w:r w:rsidRPr="00960F1F">
        <w:rPr>
          <w:rFonts w:eastAsia="Calibri" w:cs="Arial"/>
          <w:color w:val="000000"/>
          <w:lang w:val="ru-RU"/>
        </w:rPr>
        <w:t xml:space="preserve"> показател</w:t>
      </w:r>
      <w:r>
        <w:rPr>
          <w:rFonts w:eastAsia="Calibri" w:cs="Arial"/>
          <w:color w:val="000000"/>
          <w:lang w:val="ru-RU"/>
        </w:rPr>
        <w:t>ям</w:t>
      </w:r>
      <w:r w:rsidRPr="00960F1F">
        <w:rPr>
          <w:rFonts w:eastAsia="Calibri" w:cs="Arial"/>
          <w:color w:val="000000"/>
          <w:lang w:val="ru-RU"/>
        </w:rPr>
        <w:t xml:space="preserve"> </w:t>
      </w:r>
      <w:r w:rsidR="0081480D" w:rsidRPr="00960F1F">
        <w:rPr>
          <w:rFonts w:eastAsia="Calibri" w:cs="Arial"/>
          <w:color w:val="000000"/>
          <w:lang w:val="ru-RU"/>
        </w:rPr>
        <w:t xml:space="preserve">не учитывать </w:t>
      </w:r>
      <w:r w:rsidR="00007514" w:rsidRPr="00960F1F">
        <w:rPr>
          <w:rFonts w:eastAsia="Calibri" w:cs="Arial"/>
          <w:color w:val="000000"/>
          <w:lang w:val="ru-RU"/>
        </w:rPr>
        <w:t xml:space="preserve">представление цифровых данных </w:t>
      </w:r>
      <w:r w:rsidR="00C35AAE" w:rsidRPr="00960F1F">
        <w:rPr>
          <w:rFonts w:eastAsia="Calibri" w:cs="Arial"/>
          <w:color w:val="000000"/>
          <w:lang w:val="ru-RU"/>
        </w:rPr>
        <w:t xml:space="preserve">аналитического характера </w:t>
      </w:r>
      <w:r w:rsidR="00007514" w:rsidRPr="00960F1F">
        <w:rPr>
          <w:rFonts w:eastAsia="Calibri" w:cs="Arial"/>
          <w:color w:val="000000"/>
          <w:lang w:val="ru-RU"/>
        </w:rPr>
        <w:t>в графическом формате</w:t>
      </w:r>
      <w:r w:rsidR="00007514" w:rsidRPr="00960F1F">
        <w:rPr>
          <w:vertAlign w:val="superscript"/>
          <w:lang w:val="ru-RU"/>
        </w:rPr>
        <w:footnoteReference w:id="3"/>
      </w:r>
      <w:r w:rsidR="00007514" w:rsidRPr="00960F1F">
        <w:rPr>
          <w:rFonts w:eastAsia="Calibri" w:cs="Arial"/>
          <w:color w:val="000000"/>
          <w:lang w:val="ru-RU"/>
        </w:rPr>
        <w:t>.</w:t>
      </w:r>
    </w:p>
    <w:p w14:paraId="217F1E49" w14:textId="021CED0A" w:rsidR="00007514" w:rsidRPr="00007514" w:rsidRDefault="00960F1F"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Ф</w:t>
      </w:r>
      <w:r w:rsidR="00007514" w:rsidRPr="00007514">
        <w:rPr>
          <w:rFonts w:ascii="Times New Roman" w:eastAsia="Calibri" w:hAnsi="Times New Roman" w:cs="Times New Roman"/>
          <w:bCs/>
          <w:color w:val="000000"/>
          <w:sz w:val="28"/>
          <w:szCs w:val="28"/>
        </w:rPr>
        <w:t>ормат</w:t>
      </w:r>
      <w:r>
        <w:rPr>
          <w:rFonts w:ascii="Times New Roman" w:eastAsia="Calibri" w:hAnsi="Times New Roman" w:cs="Times New Roman"/>
          <w:bCs/>
          <w:color w:val="000000"/>
          <w:sz w:val="28"/>
          <w:szCs w:val="28"/>
        </w:rPr>
        <w:t xml:space="preserve"> электронных таблиц</w:t>
      </w:r>
      <w:r w:rsidR="00007514" w:rsidRPr="00007514">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относится к машиночитаемым форматам и </w:t>
      </w:r>
      <w:r w:rsidR="00007514" w:rsidRPr="00007514">
        <w:rPr>
          <w:rFonts w:ascii="Times New Roman" w:eastAsia="Calibri" w:hAnsi="Times New Roman" w:cs="Times New Roman"/>
          <w:bCs/>
          <w:color w:val="000000"/>
          <w:sz w:val="28"/>
          <w:szCs w:val="28"/>
        </w:rPr>
        <w:t xml:space="preserve">позволяет программам компьютера автоматически считывать и обрабатывать данные. К таким форматам, например, относится формат </w:t>
      </w:r>
      <w:r>
        <w:rPr>
          <w:rFonts w:ascii="Times New Roman" w:eastAsia="Calibri" w:hAnsi="Times New Roman" w:cs="Times New Roman"/>
          <w:bCs/>
          <w:color w:val="000000"/>
          <w:sz w:val="28"/>
          <w:szCs w:val="28"/>
        </w:rPr>
        <w:t xml:space="preserve">электронных таблиц </w:t>
      </w:r>
      <w:r w:rsidR="00CC5D59" w:rsidRPr="00960F1F">
        <w:rPr>
          <w:rFonts w:ascii="Times New Roman" w:eastAsia="Calibri" w:hAnsi="Times New Roman" w:cs="Times New Roman"/>
          <w:bCs/>
          <w:sz w:val="28"/>
          <w:szCs w:val="28"/>
          <w:lang w:val="en-US"/>
        </w:rPr>
        <w:t>E</w:t>
      </w:r>
      <w:r w:rsidR="00007514" w:rsidRPr="00007514">
        <w:rPr>
          <w:rFonts w:ascii="Times New Roman" w:eastAsia="Calibri" w:hAnsi="Times New Roman" w:cs="Times New Roman"/>
          <w:bCs/>
          <w:color w:val="000000"/>
          <w:sz w:val="28"/>
          <w:szCs w:val="28"/>
          <w:lang w:val="en-US"/>
        </w:rPr>
        <w:t>xcel</w:t>
      </w:r>
      <w:r w:rsidR="00007514" w:rsidRPr="00007514">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Форматы документов </w:t>
      </w:r>
      <w:r>
        <w:rPr>
          <w:rFonts w:ascii="Times New Roman" w:eastAsia="Calibri" w:hAnsi="Times New Roman" w:cs="Times New Roman"/>
          <w:bCs/>
          <w:color w:val="000000"/>
          <w:sz w:val="28"/>
          <w:szCs w:val="28"/>
          <w:lang w:val="en-US"/>
        </w:rPr>
        <w:t>PDF</w:t>
      </w:r>
      <w:r w:rsidRPr="00960F1F">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lang w:val="en-US"/>
        </w:rPr>
        <w:t>RTF</w:t>
      </w:r>
      <w:r w:rsidRPr="00960F1F">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или </w:t>
      </w:r>
      <w:r>
        <w:rPr>
          <w:rFonts w:ascii="Times New Roman" w:eastAsia="Calibri" w:hAnsi="Times New Roman" w:cs="Times New Roman"/>
          <w:bCs/>
          <w:color w:val="000000"/>
          <w:sz w:val="28"/>
          <w:szCs w:val="28"/>
          <w:lang w:val="en-US"/>
        </w:rPr>
        <w:t>Word</w:t>
      </w:r>
      <w:r w:rsidR="00007514" w:rsidRPr="00007514">
        <w:rPr>
          <w:rFonts w:ascii="Times New Roman" w:eastAsia="Calibri" w:hAnsi="Times New Roman" w:cs="Times New Roman"/>
          <w:bCs/>
          <w:color w:val="000000"/>
          <w:sz w:val="28"/>
          <w:szCs w:val="28"/>
        </w:rPr>
        <w:t xml:space="preserve"> не являются машиночитаемыми</w:t>
      </w:r>
      <w:r>
        <w:rPr>
          <w:rFonts w:ascii="Times New Roman" w:eastAsia="Calibri" w:hAnsi="Times New Roman" w:cs="Times New Roman"/>
          <w:bCs/>
          <w:color w:val="000000"/>
          <w:sz w:val="28"/>
          <w:szCs w:val="28"/>
        </w:rPr>
        <w:t xml:space="preserve"> и не позволяют компьютерам автоматически считывать и обрабатывать данные</w:t>
      </w:r>
      <w:r w:rsidR="00007514" w:rsidRPr="00007514">
        <w:rPr>
          <w:rFonts w:ascii="Times New Roman" w:eastAsia="Calibri" w:hAnsi="Times New Roman" w:cs="Times New Roman"/>
          <w:bCs/>
          <w:color w:val="000000"/>
          <w:sz w:val="28"/>
          <w:szCs w:val="28"/>
        </w:rPr>
        <w:t>.</w:t>
      </w:r>
    </w:p>
    <w:p w14:paraId="24B9966F" w14:textId="66EDA5F8"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Предложение обусловлено тем, что значительная часть бюджетных данных</w:t>
      </w:r>
      <w:r w:rsidR="0081480D">
        <w:rPr>
          <w:rFonts w:ascii="Times New Roman" w:eastAsia="Calibri" w:hAnsi="Times New Roman" w:cs="Times New Roman"/>
          <w:bCs/>
          <w:color w:val="000000"/>
          <w:sz w:val="28"/>
          <w:szCs w:val="28"/>
        </w:rPr>
        <w:t xml:space="preserve"> аналитического характера, </w:t>
      </w:r>
      <w:r w:rsidRPr="00007514">
        <w:rPr>
          <w:rFonts w:ascii="Times New Roman" w:eastAsia="Calibri" w:hAnsi="Times New Roman" w:cs="Times New Roman"/>
          <w:bCs/>
          <w:color w:val="000000"/>
          <w:sz w:val="28"/>
          <w:szCs w:val="28"/>
        </w:rPr>
        <w:t xml:space="preserve">оцениваемых в рейтинге открытости, представляет собой цифровые данные, для повторного использования которых </w:t>
      </w:r>
      <w:r w:rsidR="00960F1F">
        <w:rPr>
          <w:rFonts w:ascii="Times New Roman" w:eastAsia="Calibri" w:hAnsi="Times New Roman" w:cs="Times New Roman"/>
          <w:bCs/>
          <w:color w:val="000000"/>
          <w:sz w:val="28"/>
          <w:szCs w:val="28"/>
        </w:rPr>
        <w:t xml:space="preserve">необходима </w:t>
      </w:r>
      <w:r w:rsidRPr="00007514">
        <w:rPr>
          <w:rFonts w:ascii="Times New Roman" w:eastAsia="Calibri" w:hAnsi="Times New Roman" w:cs="Times New Roman"/>
          <w:bCs/>
          <w:color w:val="000000"/>
          <w:sz w:val="28"/>
          <w:szCs w:val="28"/>
        </w:rPr>
        <w:t xml:space="preserve">возможность считывать и обрабатывать данные с помощью программ компьютера. Международное бюджетное партнерство при расчете индекса открытости бюджета учитывает в оценке показателей представление цифровых </w:t>
      </w:r>
      <w:r>
        <w:rPr>
          <w:rFonts w:ascii="Times New Roman" w:eastAsia="Calibri" w:hAnsi="Times New Roman" w:cs="Times New Roman"/>
          <w:bCs/>
          <w:color w:val="000000"/>
          <w:sz w:val="28"/>
          <w:szCs w:val="28"/>
        </w:rPr>
        <w:t>данных в машиночитаемом формате</w:t>
      </w:r>
      <w:r w:rsidRPr="00007514">
        <w:rPr>
          <w:rFonts w:ascii="Times New Roman" w:eastAsia="Calibri" w:hAnsi="Times New Roman" w:cs="Times New Roman"/>
          <w:bCs/>
          <w:color w:val="000000"/>
          <w:sz w:val="28"/>
          <w:szCs w:val="28"/>
          <w:vertAlign w:val="superscript"/>
          <w:lang w:val="en-US"/>
        </w:rPr>
        <w:footnoteReference w:id="4"/>
      </w:r>
      <w:r w:rsidRPr="00007514">
        <w:rPr>
          <w:rFonts w:ascii="Times New Roman" w:eastAsia="Calibri" w:hAnsi="Times New Roman" w:cs="Times New Roman"/>
          <w:bCs/>
          <w:color w:val="000000"/>
          <w:sz w:val="28"/>
          <w:szCs w:val="28"/>
        </w:rPr>
        <w:t xml:space="preserve">.  </w:t>
      </w:r>
    </w:p>
    <w:p w14:paraId="7ECCF7D6" w14:textId="60BEC31C" w:rsidR="00007514" w:rsidRPr="00007514" w:rsidRDefault="00C35AAE"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Рекомендацию о представлении данных в </w:t>
      </w:r>
      <w:r w:rsidR="00C85718">
        <w:rPr>
          <w:rFonts w:ascii="Times New Roman" w:eastAsia="Calibri" w:hAnsi="Times New Roman" w:cs="Times New Roman"/>
          <w:bCs/>
          <w:color w:val="000000"/>
          <w:sz w:val="28"/>
          <w:szCs w:val="28"/>
        </w:rPr>
        <w:t xml:space="preserve">формате электронных таблиц </w:t>
      </w:r>
      <w:r>
        <w:rPr>
          <w:rFonts w:ascii="Times New Roman" w:eastAsia="Calibri" w:hAnsi="Times New Roman" w:cs="Times New Roman"/>
          <w:bCs/>
          <w:color w:val="000000"/>
          <w:sz w:val="28"/>
          <w:szCs w:val="28"/>
        </w:rPr>
        <w:t xml:space="preserve">предлагается распространить на показатели: 3.2˗3.11, 4.3˗4.4 (за исключением текстовой части пояснительной записки), 4.5˗4.11, 5.4˗5.10. </w:t>
      </w:r>
    </w:p>
    <w:p w14:paraId="184CD2F1" w14:textId="0746842A" w:rsidR="00007514" w:rsidRPr="00007514" w:rsidRDefault="00E4286C"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Согласно</w:t>
      </w:r>
      <w:r w:rsidR="0081480D">
        <w:rPr>
          <w:rFonts w:ascii="Times New Roman" w:eastAsia="Calibri" w:hAnsi="Times New Roman" w:cs="Times New Roman"/>
          <w:bCs/>
          <w:color w:val="000000"/>
          <w:sz w:val="28"/>
          <w:szCs w:val="28"/>
        </w:rPr>
        <w:t xml:space="preserve"> </w:t>
      </w:r>
      <w:proofErr w:type="gramStart"/>
      <w:r w:rsidR="00007514" w:rsidRPr="00007514">
        <w:rPr>
          <w:rFonts w:ascii="Times New Roman" w:eastAsia="Calibri" w:hAnsi="Times New Roman" w:cs="Times New Roman"/>
          <w:bCs/>
          <w:color w:val="000000"/>
          <w:sz w:val="28"/>
          <w:szCs w:val="28"/>
        </w:rPr>
        <w:t>Методике составления рейтинга открытости</w:t>
      </w:r>
      <w:proofErr w:type="gramEnd"/>
      <w:r w:rsidR="00007514" w:rsidRPr="00007514">
        <w:rPr>
          <w:rFonts w:ascii="Times New Roman" w:eastAsia="Calibri" w:hAnsi="Times New Roman" w:cs="Times New Roman"/>
          <w:bCs/>
          <w:color w:val="000000"/>
          <w:sz w:val="28"/>
          <w:szCs w:val="28"/>
        </w:rPr>
        <w:t xml:space="preserve"> за 2021 год цифровые данные</w:t>
      </w:r>
      <w:r w:rsidR="00C85718">
        <w:rPr>
          <w:rFonts w:ascii="Times New Roman" w:eastAsia="Calibri" w:hAnsi="Times New Roman" w:cs="Times New Roman"/>
          <w:bCs/>
          <w:color w:val="000000"/>
          <w:sz w:val="28"/>
          <w:szCs w:val="28"/>
        </w:rPr>
        <w:t>, используемые</w:t>
      </w:r>
      <w:r w:rsidR="00007514" w:rsidRPr="00007514">
        <w:rPr>
          <w:rFonts w:ascii="Times New Roman" w:eastAsia="Calibri" w:hAnsi="Times New Roman" w:cs="Times New Roman"/>
          <w:bCs/>
          <w:color w:val="000000"/>
          <w:sz w:val="28"/>
          <w:szCs w:val="28"/>
        </w:rPr>
        <w:t xml:space="preserve"> для оценки показателей 4.3, 4.4, 5.10, </w:t>
      </w:r>
      <w:r w:rsidR="00007514" w:rsidRPr="00007514">
        <w:rPr>
          <w:rFonts w:ascii="Times New Roman" w:eastAsia="Calibri" w:hAnsi="Times New Roman" w:cs="Times New Roman"/>
          <w:bCs/>
          <w:color w:val="000000"/>
          <w:sz w:val="28"/>
          <w:szCs w:val="28"/>
        </w:rPr>
        <w:lastRenderedPageBreak/>
        <w:t>представленные в графическом формате</w:t>
      </w:r>
      <w:r w:rsidR="0081480D">
        <w:rPr>
          <w:rFonts w:ascii="Times New Roman" w:eastAsia="Calibri" w:hAnsi="Times New Roman" w:cs="Times New Roman"/>
          <w:bCs/>
          <w:color w:val="000000"/>
          <w:sz w:val="28"/>
          <w:szCs w:val="28"/>
        </w:rPr>
        <w:t>,</w:t>
      </w:r>
      <w:r w:rsidR="00007514" w:rsidRPr="00007514">
        <w:rPr>
          <w:rFonts w:ascii="Times New Roman" w:eastAsia="Calibri" w:hAnsi="Times New Roman" w:cs="Times New Roman"/>
          <w:bCs/>
          <w:color w:val="000000"/>
          <w:sz w:val="28"/>
          <w:szCs w:val="28"/>
        </w:rPr>
        <w:t xml:space="preserve"> не </w:t>
      </w:r>
      <w:r w:rsidR="00007514" w:rsidRPr="000B583A">
        <w:rPr>
          <w:rFonts w:ascii="Times New Roman" w:eastAsia="Calibri" w:hAnsi="Times New Roman" w:cs="Times New Roman"/>
          <w:bCs/>
          <w:color w:val="000000"/>
          <w:sz w:val="28"/>
          <w:szCs w:val="28"/>
        </w:rPr>
        <w:t>учитываютс</w:t>
      </w:r>
      <w:r w:rsidR="00007514" w:rsidRPr="00007514">
        <w:rPr>
          <w:rFonts w:ascii="Times New Roman" w:eastAsia="Calibri" w:hAnsi="Times New Roman" w:cs="Times New Roman"/>
          <w:bCs/>
          <w:color w:val="000000"/>
          <w:sz w:val="28"/>
          <w:szCs w:val="28"/>
        </w:rPr>
        <w:t>я. Данную практику предлагается распространить также на показатели 3.5, 4.8, 4.9, 5.8.</w:t>
      </w:r>
    </w:p>
    <w:p w14:paraId="47758348" w14:textId="482E6938" w:rsidR="00AA5213" w:rsidRPr="00E4286C" w:rsidRDefault="00C35AAE" w:rsidP="000B583A">
      <w:pPr>
        <w:pStyle w:val="a7"/>
        <w:numPr>
          <w:ilvl w:val="0"/>
          <w:numId w:val="18"/>
        </w:numPr>
        <w:tabs>
          <w:tab w:val="left" w:pos="1134"/>
        </w:tabs>
        <w:spacing w:before="120"/>
        <w:ind w:left="0" w:firstLine="709"/>
        <w:contextualSpacing w:val="0"/>
        <w:rPr>
          <w:rFonts w:eastAsia="Calibri" w:cs="Times New Roman"/>
          <w:b/>
          <w:bCs/>
          <w:color w:val="000000"/>
          <w:lang w:val="ru-RU"/>
        </w:rPr>
      </w:pPr>
      <w:r w:rsidRPr="00E4286C">
        <w:rPr>
          <w:rFonts w:eastAsia="Calibri" w:cs="Times New Roman"/>
          <w:b/>
          <w:bCs/>
          <w:color w:val="000000"/>
          <w:lang w:val="ru-RU"/>
        </w:rPr>
        <w:t xml:space="preserve">Предложение по использованию при составлении рейтинга механизма начисления </w:t>
      </w:r>
      <w:r w:rsidR="00CD3D3A" w:rsidRPr="00E4286C">
        <w:rPr>
          <w:rFonts w:eastAsia="Calibri" w:cs="Times New Roman"/>
          <w:b/>
          <w:bCs/>
          <w:color w:val="000000"/>
          <w:lang w:val="ru-RU"/>
        </w:rPr>
        <w:t>бонусов (бонусных баллов)</w:t>
      </w:r>
      <w:r w:rsidRPr="00E4286C">
        <w:rPr>
          <w:rFonts w:eastAsia="Calibri" w:cs="Times New Roman"/>
          <w:b/>
          <w:bCs/>
          <w:color w:val="000000"/>
          <w:lang w:val="ru-RU"/>
        </w:rPr>
        <w:t xml:space="preserve"> за реализацию отдельных напр</w:t>
      </w:r>
      <w:r w:rsidR="00E64737" w:rsidRPr="00E4286C">
        <w:rPr>
          <w:rFonts w:eastAsia="Calibri" w:cs="Times New Roman"/>
          <w:b/>
          <w:bCs/>
          <w:color w:val="000000"/>
          <w:lang w:val="ru-RU"/>
        </w:rPr>
        <w:t xml:space="preserve">авлений, направленных на обеспечение открытости бюджетных данных </w:t>
      </w:r>
    </w:p>
    <w:p w14:paraId="56452750" w14:textId="58FC34A1" w:rsidR="00C35AAE" w:rsidRPr="00AA5213" w:rsidRDefault="00E64737" w:rsidP="00AA5213">
      <w:pPr>
        <w:tabs>
          <w:tab w:val="left" w:pos="1134"/>
        </w:tabs>
        <w:spacing w:after="0" w:line="360" w:lineRule="auto"/>
        <w:ind w:firstLine="709"/>
        <w:jc w:val="both"/>
        <w:rPr>
          <w:rFonts w:ascii="Times New Roman" w:eastAsia="Calibri" w:hAnsi="Times New Roman" w:cs="Times New Roman"/>
          <w:bCs/>
          <w:color w:val="000000"/>
          <w:sz w:val="28"/>
          <w:szCs w:val="28"/>
        </w:rPr>
      </w:pPr>
      <w:r w:rsidRPr="00AA5213">
        <w:rPr>
          <w:rFonts w:ascii="Times New Roman" w:eastAsia="Calibri" w:hAnsi="Times New Roman" w:cs="Times New Roman"/>
          <w:bCs/>
          <w:color w:val="000000"/>
          <w:sz w:val="28"/>
          <w:szCs w:val="28"/>
        </w:rPr>
        <w:t>В 2022 году</w:t>
      </w:r>
      <w:r w:rsidR="00AA5213">
        <w:rPr>
          <w:rFonts w:ascii="Times New Roman" w:eastAsia="Calibri" w:hAnsi="Times New Roman" w:cs="Times New Roman"/>
          <w:bCs/>
          <w:color w:val="000000"/>
          <w:sz w:val="28"/>
          <w:szCs w:val="28"/>
        </w:rPr>
        <w:t xml:space="preserve"> </w:t>
      </w:r>
      <w:r w:rsidRPr="00AA5213">
        <w:rPr>
          <w:rFonts w:ascii="Times New Roman" w:eastAsia="Calibri" w:hAnsi="Times New Roman" w:cs="Times New Roman"/>
          <w:bCs/>
          <w:color w:val="000000"/>
          <w:sz w:val="28"/>
          <w:szCs w:val="28"/>
        </w:rPr>
        <w:t xml:space="preserve">данный механизм предлагается распространить на </w:t>
      </w:r>
      <w:r w:rsidR="009F676B">
        <w:rPr>
          <w:rFonts w:ascii="Times New Roman" w:eastAsia="Calibri" w:hAnsi="Times New Roman" w:cs="Times New Roman"/>
          <w:bCs/>
          <w:color w:val="000000"/>
          <w:sz w:val="28"/>
          <w:szCs w:val="28"/>
        </w:rPr>
        <w:t>три направления.</w:t>
      </w:r>
    </w:p>
    <w:p w14:paraId="36021802" w14:textId="79E1CDF2" w:rsidR="00CD3D3A" w:rsidRPr="000B583A" w:rsidRDefault="00CD3D3A" w:rsidP="00E4286C">
      <w:pPr>
        <w:pStyle w:val="a7"/>
        <w:numPr>
          <w:ilvl w:val="1"/>
          <w:numId w:val="18"/>
        </w:numPr>
        <w:tabs>
          <w:tab w:val="left" w:pos="1276"/>
        </w:tabs>
        <w:spacing w:before="120"/>
        <w:ind w:left="0" w:firstLine="709"/>
        <w:rPr>
          <w:rFonts w:eastAsia="Calibri" w:cs="Times New Roman"/>
          <w:bCs/>
          <w:color w:val="000000"/>
          <w:lang w:val="ru-RU"/>
        </w:rPr>
      </w:pPr>
      <w:r w:rsidRPr="000B583A">
        <w:rPr>
          <w:rFonts w:eastAsia="Calibri" w:cs="Times New Roman"/>
          <w:bCs/>
          <w:color w:val="000000"/>
          <w:lang w:val="ru-RU"/>
        </w:rPr>
        <w:t>Размещение данных, оцениваемых при составлении рейтинга по разделам 2, 4 и 5, на сайте законодательн</w:t>
      </w:r>
      <w:r w:rsidR="00E4286C" w:rsidRPr="000B583A">
        <w:rPr>
          <w:rFonts w:eastAsia="Calibri" w:cs="Times New Roman"/>
          <w:bCs/>
          <w:color w:val="000000"/>
          <w:lang w:val="ru-RU"/>
        </w:rPr>
        <w:t>ого (представительного) органа</w:t>
      </w:r>
    </w:p>
    <w:p w14:paraId="095FC671" w14:textId="77777777" w:rsidR="00CD3D3A" w:rsidRDefault="00CD3D3A" w:rsidP="00CD3D3A">
      <w:pPr>
        <w:tabs>
          <w:tab w:val="left" w:pos="1134"/>
        </w:tabs>
        <w:spacing w:after="0" w:line="36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Предлагается начислять бонус в размере 1 балла:</w:t>
      </w:r>
    </w:p>
    <w:p w14:paraId="3A4C9BFE" w14:textId="38567A1B" w:rsidR="00CD3D3A" w:rsidRPr="00AA5213" w:rsidRDefault="00CD3D3A" w:rsidP="00AA5213">
      <w:pPr>
        <w:pStyle w:val="a7"/>
        <w:numPr>
          <w:ilvl w:val="0"/>
          <w:numId w:val="19"/>
        </w:numPr>
        <w:tabs>
          <w:tab w:val="left" w:pos="1134"/>
        </w:tabs>
        <w:ind w:left="0" w:firstLine="709"/>
        <w:rPr>
          <w:rFonts w:eastAsia="Calibri" w:cs="Times New Roman"/>
          <w:bCs/>
          <w:color w:val="000000"/>
          <w:lang w:val="ru-RU"/>
        </w:rPr>
      </w:pPr>
      <w:r w:rsidRPr="00AA5213">
        <w:rPr>
          <w:rFonts w:eastAsia="Calibri" w:cs="Times New Roman"/>
          <w:bCs/>
          <w:color w:val="000000"/>
          <w:lang w:val="ru-RU"/>
        </w:rPr>
        <w:t>по разделу 2 – в случае размещения на сайте законодательного органа информации, оцениваемой показателями 2.1</w:t>
      </w:r>
      <w:r w:rsidR="00AA5213" w:rsidRPr="00AA5213">
        <w:rPr>
          <w:rFonts w:eastAsia="Calibri" w:cs="Times New Roman"/>
          <w:bCs/>
          <w:color w:val="000000"/>
          <w:lang w:val="ru-RU"/>
        </w:rPr>
        <w:t>–</w:t>
      </w:r>
      <w:r w:rsidRPr="00AA5213">
        <w:rPr>
          <w:rFonts w:eastAsia="Calibri" w:cs="Times New Roman"/>
          <w:bCs/>
          <w:color w:val="000000"/>
          <w:lang w:val="ru-RU"/>
        </w:rPr>
        <w:t>2.4;</w:t>
      </w:r>
    </w:p>
    <w:p w14:paraId="280928EE" w14:textId="5F998683" w:rsidR="00CD3D3A" w:rsidRPr="00AA5213" w:rsidRDefault="00CD3D3A" w:rsidP="00AA5213">
      <w:pPr>
        <w:pStyle w:val="a7"/>
        <w:numPr>
          <w:ilvl w:val="0"/>
          <w:numId w:val="19"/>
        </w:numPr>
        <w:tabs>
          <w:tab w:val="left" w:pos="1134"/>
        </w:tabs>
        <w:ind w:left="0" w:firstLine="709"/>
        <w:rPr>
          <w:rFonts w:eastAsia="Calibri" w:cs="Times New Roman"/>
          <w:bCs/>
          <w:color w:val="000000"/>
          <w:lang w:val="ru-RU"/>
        </w:rPr>
      </w:pPr>
      <w:r w:rsidRPr="00AA5213">
        <w:rPr>
          <w:rFonts w:eastAsia="Calibri" w:cs="Times New Roman"/>
          <w:bCs/>
          <w:color w:val="000000"/>
          <w:lang w:val="ru-RU"/>
        </w:rPr>
        <w:t>по разделу 4 – в случае размещения на сайте законодательного органа информации, оцениваемой показателями 4.1</w:t>
      </w:r>
      <w:r w:rsidR="00AA5213" w:rsidRPr="00AA5213">
        <w:rPr>
          <w:rFonts w:eastAsia="Calibri" w:cs="Times New Roman"/>
          <w:bCs/>
          <w:color w:val="000000"/>
          <w:lang w:val="ru-RU"/>
        </w:rPr>
        <w:t>–</w:t>
      </w:r>
      <w:r w:rsidRPr="00AA5213">
        <w:rPr>
          <w:rFonts w:eastAsia="Calibri" w:cs="Times New Roman"/>
          <w:bCs/>
          <w:color w:val="000000"/>
          <w:lang w:val="ru-RU"/>
        </w:rPr>
        <w:t>4.12, 4.13 (</w:t>
      </w:r>
      <w:r w:rsidR="00577892">
        <w:rPr>
          <w:rFonts w:eastAsia="Calibri" w:cs="Times New Roman"/>
          <w:bCs/>
          <w:color w:val="000000"/>
          <w:lang w:val="ru-RU"/>
        </w:rPr>
        <w:t xml:space="preserve">если публичные слушания (общественные обсуждения) проводятся </w:t>
      </w:r>
      <w:r w:rsidRPr="00AA5213">
        <w:rPr>
          <w:rFonts w:eastAsia="Calibri" w:cs="Times New Roman"/>
          <w:bCs/>
          <w:color w:val="000000"/>
          <w:lang w:val="ru-RU"/>
        </w:rPr>
        <w:t>после внесения законопроекта об исполнении бюджета в законодательный орган);</w:t>
      </w:r>
    </w:p>
    <w:p w14:paraId="0273FB25" w14:textId="47097C9B" w:rsidR="00CD3D3A" w:rsidRPr="00577892" w:rsidRDefault="00CD3D3A" w:rsidP="00AA5213">
      <w:pPr>
        <w:pStyle w:val="a7"/>
        <w:numPr>
          <w:ilvl w:val="0"/>
          <w:numId w:val="19"/>
        </w:numPr>
        <w:tabs>
          <w:tab w:val="left" w:pos="1134"/>
        </w:tabs>
        <w:ind w:left="0" w:firstLine="709"/>
        <w:rPr>
          <w:rFonts w:eastAsia="Calibri" w:cs="Times New Roman"/>
          <w:bCs/>
          <w:color w:val="000000"/>
          <w:lang w:val="ru-RU"/>
        </w:rPr>
      </w:pPr>
      <w:r w:rsidRPr="00577892">
        <w:rPr>
          <w:rFonts w:eastAsia="Calibri" w:cs="Times New Roman"/>
          <w:bCs/>
          <w:color w:val="000000"/>
          <w:lang w:val="ru-RU"/>
        </w:rPr>
        <w:t>по разделу 5 – в случае размещения на сайте законодательного органа информации, оцениваемой показателями 5.1</w:t>
      </w:r>
      <w:r w:rsidR="00AA5213" w:rsidRPr="00577892">
        <w:rPr>
          <w:rFonts w:eastAsia="Calibri" w:cs="Times New Roman"/>
          <w:bCs/>
          <w:color w:val="000000"/>
          <w:lang w:val="ru-RU"/>
        </w:rPr>
        <w:t>–</w:t>
      </w:r>
      <w:r w:rsidRPr="00577892">
        <w:rPr>
          <w:rFonts w:eastAsia="Calibri" w:cs="Times New Roman"/>
          <w:bCs/>
          <w:color w:val="000000"/>
          <w:lang w:val="ru-RU"/>
        </w:rPr>
        <w:t xml:space="preserve">5.12, 5.13 </w:t>
      </w:r>
      <w:r w:rsidR="00577892">
        <w:rPr>
          <w:rFonts w:eastAsia="Calibri" w:cs="Times New Roman"/>
          <w:bCs/>
          <w:color w:val="000000"/>
          <w:lang w:val="ru-RU"/>
        </w:rPr>
        <w:t>(если</w:t>
      </w:r>
      <w:r w:rsidRPr="00577892">
        <w:rPr>
          <w:rFonts w:eastAsia="Calibri" w:cs="Times New Roman"/>
          <w:bCs/>
          <w:color w:val="000000"/>
          <w:lang w:val="ru-RU"/>
        </w:rPr>
        <w:t xml:space="preserve"> публичны</w:t>
      </w:r>
      <w:r w:rsidR="00577892">
        <w:rPr>
          <w:rFonts w:eastAsia="Calibri" w:cs="Times New Roman"/>
          <w:bCs/>
          <w:color w:val="000000"/>
          <w:lang w:val="ru-RU"/>
        </w:rPr>
        <w:t>е</w:t>
      </w:r>
      <w:r w:rsidRPr="00577892">
        <w:rPr>
          <w:rFonts w:eastAsia="Calibri" w:cs="Times New Roman"/>
          <w:bCs/>
          <w:color w:val="000000"/>
          <w:lang w:val="ru-RU"/>
        </w:rPr>
        <w:t xml:space="preserve"> слушани</w:t>
      </w:r>
      <w:r w:rsidR="00577892">
        <w:rPr>
          <w:rFonts w:eastAsia="Calibri" w:cs="Times New Roman"/>
          <w:bCs/>
          <w:color w:val="000000"/>
          <w:lang w:val="ru-RU"/>
        </w:rPr>
        <w:t>я</w:t>
      </w:r>
      <w:r w:rsidRPr="00577892">
        <w:rPr>
          <w:rFonts w:eastAsia="Calibri" w:cs="Times New Roman"/>
          <w:bCs/>
          <w:color w:val="000000"/>
          <w:lang w:val="ru-RU"/>
        </w:rPr>
        <w:t xml:space="preserve"> (общественны</w:t>
      </w:r>
      <w:r w:rsidR="00577892">
        <w:rPr>
          <w:rFonts w:eastAsia="Calibri" w:cs="Times New Roman"/>
          <w:bCs/>
          <w:color w:val="000000"/>
          <w:lang w:val="ru-RU"/>
        </w:rPr>
        <w:t>е</w:t>
      </w:r>
      <w:r w:rsidRPr="00577892">
        <w:rPr>
          <w:rFonts w:eastAsia="Calibri" w:cs="Times New Roman"/>
          <w:bCs/>
          <w:color w:val="000000"/>
          <w:lang w:val="ru-RU"/>
        </w:rPr>
        <w:t xml:space="preserve"> обсуждени</w:t>
      </w:r>
      <w:r w:rsidR="00577892">
        <w:rPr>
          <w:rFonts w:eastAsia="Calibri" w:cs="Times New Roman"/>
          <w:bCs/>
          <w:color w:val="000000"/>
          <w:lang w:val="ru-RU"/>
        </w:rPr>
        <w:t>я</w:t>
      </w:r>
      <w:r w:rsidRPr="00577892">
        <w:rPr>
          <w:rFonts w:eastAsia="Calibri" w:cs="Times New Roman"/>
          <w:bCs/>
          <w:color w:val="000000"/>
          <w:lang w:val="ru-RU"/>
        </w:rPr>
        <w:t xml:space="preserve">) </w:t>
      </w:r>
      <w:r w:rsidR="00577892">
        <w:rPr>
          <w:rFonts w:eastAsia="Calibri" w:cs="Times New Roman"/>
          <w:bCs/>
          <w:color w:val="000000"/>
          <w:lang w:val="ru-RU"/>
        </w:rPr>
        <w:t xml:space="preserve">проводятся </w:t>
      </w:r>
      <w:r w:rsidRPr="00577892">
        <w:rPr>
          <w:rFonts w:eastAsia="Calibri" w:cs="Times New Roman"/>
          <w:bCs/>
          <w:color w:val="000000"/>
          <w:lang w:val="ru-RU"/>
        </w:rPr>
        <w:t>после внесения законопроекта о бюджете в законодательный орган).</w:t>
      </w:r>
    </w:p>
    <w:p w14:paraId="36767543" w14:textId="4453DF6B" w:rsidR="00CD3D3A" w:rsidRDefault="00CD3D3A" w:rsidP="00CD3D3A">
      <w:pPr>
        <w:tabs>
          <w:tab w:val="left" w:pos="1134"/>
        </w:tabs>
        <w:spacing w:after="0" w:line="36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Предложение связано с полномочиями участников бюджетного процесса. Именно законодательный (представительный) орган рассматривает и утверждает закон о бюджет</w:t>
      </w:r>
      <w:r w:rsidR="002A0A21">
        <w:rPr>
          <w:rFonts w:ascii="Times New Roman" w:eastAsia="Calibri" w:hAnsi="Times New Roman" w:cs="Times New Roman"/>
          <w:bCs/>
          <w:color w:val="000000"/>
          <w:sz w:val="28"/>
          <w:szCs w:val="28"/>
        </w:rPr>
        <w:t>е</w:t>
      </w:r>
      <w:r>
        <w:rPr>
          <w:rFonts w:ascii="Times New Roman" w:eastAsia="Calibri" w:hAnsi="Times New Roman" w:cs="Times New Roman"/>
          <w:bCs/>
          <w:color w:val="000000"/>
          <w:sz w:val="28"/>
          <w:szCs w:val="28"/>
        </w:rPr>
        <w:t xml:space="preserve">, </w:t>
      </w:r>
      <w:r w:rsidR="002A0A21">
        <w:rPr>
          <w:rFonts w:ascii="Times New Roman" w:eastAsia="Calibri" w:hAnsi="Times New Roman" w:cs="Times New Roman"/>
          <w:bCs/>
          <w:color w:val="000000"/>
          <w:sz w:val="28"/>
          <w:szCs w:val="28"/>
        </w:rPr>
        <w:t xml:space="preserve">законы </w:t>
      </w:r>
      <w:r>
        <w:rPr>
          <w:rFonts w:ascii="Times New Roman" w:eastAsia="Calibri" w:hAnsi="Times New Roman" w:cs="Times New Roman"/>
          <w:bCs/>
          <w:color w:val="000000"/>
          <w:sz w:val="28"/>
          <w:szCs w:val="28"/>
        </w:rPr>
        <w:t xml:space="preserve">о внесении изменений в бюджет и </w:t>
      </w:r>
      <w:r w:rsidR="002A0A21">
        <w:rPr>
          <w:rFonts w:ascii="Times New Roman" w:eastAsia="Calibri" w:hAnsi="Times New Roman" w:cs="Times New Roman"/>
          <w:bCs/>
          <w:color w:val="000000"/>
          <w:sz w:val="28"/>
          <w:szCs w:val="28"/>
        </w:rPr>
        <w:t xml:space="preserve">закон </w:t>
      </w:r>
      <w:r>
        <w:rPr>
          <w:rFonts w:ascii="Times New Roman" w:eastAsia="Calibri" w:hAnsi="Times New Roman" w:cs="Times New Roman"/>
          <w:bCs/>
          <w:color w:val="000000"/>
          <w:sz w:val="28"/>
          <w:szCs w:val="28"/>
        </w:rPr>
        <w:t>об исполнении бюджета.</w:t>
      </w:r>
    </w:p>
    <w:p w14:paraId="3208E387" w14:textId="26EB4B7A" w:rsidR="00577892" w:rsidRPr="000B583A" w:rsidRDefault="003077DE" w:rsidP="00E4286C">
      <w:pPr>
        <w:pStyle w:val="a7"/>
        <w:numPr>
          <w:ilvl w:val="1"/>
          <w:numId w:val="18"/>
        </w:numPr>
        <w:tabs>
          <w:tab w:val="left" w:pos="1276"/>
        </w:tabs>
        <w:spacing w:before="120"/>
        <w:ind w:left="0" w:firstLine="709"/>
        <w:rPr>
          <w:rFonts w:eastAsia="Calibri" w:cs="Times New Roman"/>
          <w:bCs/>
          <w:color w:val="000000"/>
          <w:lang w:val="ru-RU"/>
        </w:rPr>
      </w:pPr>
      <w:r w:rsidRPr="000B583A">
        <w:rPr>
          <w:rFonts w:eastAsia="Calibri" w:cs="Times New Roman"/>
          <w:bCs/>
          <w:color w:val="000000"/>
          <w:lang w:val="ru-RU"/>
        </w:rPr>
        <w:t>П</w:t>
      </w:r>
      <w:r w:rsidR="00E64737" w:rsidRPr="000B583A">
        <w:rPr>
          <w:rFonts w:eastAsia="Calibri" w:cs="Times New Roman"/>
          <w:bCs/>
          <w:color w:val="000000"/>
          <w:lang w:val="ru-RU"/>
        </w:rPr>
        <w:t xml:space="preserve">одготовка «бюджетов для граждан» </w:t>
      </w:r>
      <w:r w:rsidR="00577892" w:rsidRPr="000B583A">
        <w:rPr>
          <w:rFonts w:eastAsia="Calibri" w:cs="Times New Roman"/>
          <w:bCs/>
          <w:color w:val="000000"/>
          <w:lang w:val="ru-RU"/>
        </w:rPr>
        <w:t>на национальных языках, являющихся наряду с русским я</w:t>
      </w:r>
      <w:r w:rsidR="00E4286C" w:rsidRPr="000B583A">
        <w:rPr>
          <w:rFonts w:eastAsia="Calibri" w:cs="Times New Roman"/>
          <w:bCs/>
          <w:color w:val="000000"/>
          <w:lang w:val="ru-RU"/>
        </w:rPr>
        <w:t>зыком государственными языками</w:t>
      </w:r>
    </w:p>
    <w:p w14:paraId="3D3CA1FD" w14:textId="408A3C6D" w:rsidR="00577892" w:rsidRPr="00385B06" w:rsidRDefault="00577892" w:rsidP="00D364D8">
      <w:pPr>
        <w:pStyle w:val="a7"/>
        <w:ind w:left="0" w:firstLine="709"/>
        <w:rPr>
          <w:rFonts w:eastAsia="Calibri" w:cs="Times New Roman"/>
          <w:bCs/>
          <w:color w:val="000000"/>
          <w:lang w:val="ru-RU"/>
        </w:rPr>
      </w:pPr>
      <w:r w:rsidRPr="00385B06">
        <w:rPr>
          <w:rFonts w:eastAsia="Calibri" w:cs="Times New Roman"/>
          <w:bCs/>
          <w:color w:val="000000"/>
          <w:lang w:val="ru-RU"/>
        </w:rPr>
        <w:t xml:space="preserve">В соответствии с </w:t>
      </w:r>
      <w:r w:rsidR="00D364D8" w:rsidRPr="00385B06">
        <w:rPr>
          <w:rFonts w:eastAsia="Calibri" w:cs="Times New Roman"/>
          <w:bCs/>
          <w:color w:val="000000"/>
          <w:lang w:val="ru-RU"/>
        </w:rPr>
        <w:t xml:space="preserve">частью 1 статьи 68 </w:t>
      </w:r>
      <w:r w:rsidRPr="00385B06">
        <w:rPr>
          <w:rFonts w:eastAsia="Calibri" w:cs="Times New Roman"/>
          <w:bCs/>
          <w:color w:val="000000"/>
          <w:lang w:val="ru-RU"/>
        </w:rPr>
        <w:t>Конституци</w:t>
      </w:r>
      <w:r w:rsidR="00D364D8" w:rsidRPr="00385B06">
        <w:rPr>
          <w:rFonts w:eastAsia="Calibri" w:cs="Times New Roman"/>
          <w:bCs/>
          <w:color w:val="000000"/>
          <w:lang w:val="ru-RU"/>
        </w:rPr>
        <w:t>и</w:t>
      </w:r>
      <w:r w:rsidRPr="00385B06">
        <w:rPr>
          <w:rFonts w:eastAsia="Calibri" w:cs="Times New Roman"/>
          <w:bCs/>
          <w:color w:val="000000"/>
          <w:lang w:val="ru-RU"/>
        </w:rPr>
        <w:t xml:space="preserve"> Российской Федерации государственным языком Российской Федерации на всей ее </w:t>
      </w:r>
      <w:r w:rsidRPr="00385B06">
        <w:rPr>
          <w:rFonts w:eastAsia="Calibri" w:cs="Times New Roman"/>
          <w:bCs/>
          <w:color w:val="000000"/>
          <w:lang w:val="ru-RU"/>
        </w:rPr>
        <w:lastRenderedPageBreak/>
        <w:t>территории является русский язык</w:t>
      </w:r>
      <w:r w:rsidR="00D364D8" w:rsidRPr="00385B06">
        <w:rPr>
          <w:rFonts w:eastAsia="Calibri" w:cs="Times New Roman"/>
          <w:bCs/>
          <w:color w:val="000000"/>
          <w:lang w:val="ru-RU"/>
        </w:rPr>
        <w:t>.</w:t>
      </w:r>
      <w:r w:rsidRPr="00385B06">
        <w:rPr>
          <w:rFonts w:eastAsia="Calibri" w:cs="Times New Roman"/>
          <w:bCs/>
          <w:color w:val="000000"/>
          <w:lang w:val="ru-RU"/>
        </w:rPr>
        <w:t xml:space="preserve"> В соответствии с частью 2 статьи 68 Конституции Российской Федерации республики вправе устанавливать свои государственные языки. </w:t>
      </w:r>
      <w:r w:rsidR="00AE7CEF" w:rsidRPr="00385B06">
        <w:rPr>
          <w:rFonts w:eastAsia="Calibri" w:cs="Times New Roman"/>
          <w:bCs/>
          <w:color w:val="000000"/>
          <w:lang w:val="ru-RU"/>
        </w:rPr>
        <w:t xml:space="preserve">Также частью 2 статьи 68 Конституции Российской Федерации установлено, что </w:t>
      </w:r>
      <w:r w:rsidR="00385B06" w:rsidRPr="00385B06">
        <w:rPr>
          <w:rFonts w:eastAsia="Calibri" w:cs="Times New Roman"/>
          <w:bCs/>
          <w:color w:val="000000"/>
          <w:lang w:val="ru-RU"/>
        </w:rPr>
        <w:t>в</w:t>
      </w:r>
      <w:r w:rsidR="00AE7CEF" w:rsidRPr="00AE7CEF">
        <w:rPr>
          <w:rFonts w:eastAsia="Times New Roman" w:cs="Times New Roman"/>
          <w:color w:val="000000"/>
          <w:szCs w:val="30"/>
          <w:shd w:val="clear" w:color="auto" w:fill="FFFFFF"/>
          <w:lang w:val="ru-RU" w:eastAsia="ru-RU"/>
        </w:rPr>
        <w:t xml:space="preserve"> органах государственной власти</w:t>
      </w:r>
      <w:r w:rsidR="00385B06" w:rsidRPr="00385B06">
        <w:rPr>
          <w:rFonts w:eastAsia="Times New Roman" w:cs="Times New Roman"/>
          <w:color w:val="000000"/>
          <w:szCs w:val="30"/>
          <w:shd w:val="clear" w:color="auto" w:fill="FFFFFF"/>
          <w:lang w:val="ru-RU" w:eastAsia="ru-RU"/>
        </w:rPr>
        <w:t xml:space="preserve"> такие языки</w:t>
      </w:r>
      <w:r w:rsidR="00AE7CEF" w:rsidRPr="00AE7CEF">
        <w:rPr>
          <w:rFonts w:eastAsia="Times New Roman" w:cs="Times New Roman"/>
          <w:color w:val="000000"/>
          <w:szCs w:val="30"/>
          <w:shd w:val="clear" w:color="auto" w:fill="FFFFFF"/>
          <w:lang w:val="ru-RU" w:eastAsia="ru-RU"/>
        </w:rPr>
        <w:t xml:space="preserve"> употребляются наряду с государственным языком Российской Федерации.</w:t>
      </w:r>
      <w:r w:rsidR="00385B06">
        <w:rPr>
          <w:rFonts w:eastAsia="Times New Roman" w:cs="Times New Roman"/>
          <w:color w:val="000000"/>
          <w:szCs w:val="30"/>
          <w:shd w:val="clear" w:color="auto" w:fill="FFFFFF"/>
          <w:lang w:val="ru-RU" w:eastAsia="ru-RU"/>
        </w:rPr>
        <w:t xml:space="preserve"> </w:t>
      </w:r>
      <w:r w:rsidRPr="00385B06">
        <w:rPr>
          <w:rFonts w:eastAsia="Calibri" w:cs="Times New Roman"/>
          <w:bCs/>
          <w:color w:val="000000"/>
          <w:lang w:val="ru-RU"/>
        </w:rPr>
        <w:t xml:space="preserve">В региональной практике подготовка и размещение «бюджетов для граждан» на национальных языках является скорее исключением, чем правилом. </w:t>
      </w:r>
      <w:r w:rsidR="00AE7CEF" w:rsidRPr="00385B06">
        <w:rPr>
          <w:rFonts w:eastAsia="Calibri" w:cs="Times New Roman"/>
          <w:bCs/>
          <w:color w:val="000000"/>
          <w:lang w:val="ru-RU"/>
        </w:rPr>
        <w:t xml:space="preserve">Введение бонусных баллов </w:t>
      </w:r>
      <w:r w:rsidRPr="00385B06">
        <w:rPr>
          <w:rFonts w:eastAsia="Calibri" w:cs="Times New Roman"/>
          <w:bCs/>
          <w:color w:val="000000"/>
          <w:lang w:val="ru-RU"/>
        </w:rPr>
        <w:t>в рейтинге</w:t>
      </w:r>
      <w:r w:rsidR="00AE7CEF" w:rsidRPr="00385B06">
        <w:rPr>
          <w:rFonts w:eastAsia="Calibri" w:cs="Times New Roman"/>
          <w:bCs/>
          <w:color w:val="000000"/>
          <w:lang w:val="ru-RU"/>
        </w:rPr>
        <w:t xml:space="preserve"> будет стимулировать </w:t>
      </w:r>
      <w:r w:rsidRPr="00385B06">
        <w:rPr>
          <w:rFonts w:eastAsia="Calibri" w:cs="Times New Roman"/>
          <w:bCs/>
          <w:color w:val="000000"/>
          <w:lang w:val="ru-RU"/>
        </w:rPr>
        <w:t>данное направление работ.</w:t>
      </w:r>
    </w:p>
    <w:p w14:paraId="5840F9AC" w14:textId="3D62F77F" w:rsidR="00E64737" w:rsidRDefault="00A960E9" w:rsidP="00A960E9">
      <w:pPr>
        <w:tabs>
          <w:tab w:val="left" w:pos="1134"/>
        </w:tabs>
        <w:spacing w:after="0" w:line="36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Предлагается начислять бонус в размере 0,5 балла </w:t>
      </w:r>
      <w:r w:rsidR="00AE7CEF">
        <w:rPr>
          <w:rFonts w:ascii="Times New Roman" w:eastAsia="Calibri" w:hAnsi="Times New Roman" w:cs="Times New Roman"/>
          <w:bCs/>
          <w:color w:val="000000"/>
          <w:sz w:val="28"/>
          <w:szCs w:val="28"/>
        </w:rPr>
        <w:t xml:space="preserve">по показателям 6.1, 6.4 и 6.8 </w:t>
      </w:r>
      <w:r w:rsidR="00A345E6">
        <w:rPr>
          <w:rFonts w:ascii="Times New Roman" w:eastAsia="Calibri" w:hAnsi="Times New Roman" w:cs="Times New Roman"/>
          <w:bCs/>
          <w:color w:val="000000"/>
          <w:sz w:val="28"/>
          <w:szCs w:val="28"/>
        </w:rPr>
        <w:t xml:space="preserve">в случае </w:t>
      </w:r>
      <w:r w:rsidR="003077DE">
        <w:rPr>
          <w:rFonts w:ascii="Times New Roman" w:eastAsia="Calibri" w:hAnsi="Times New Roman" w:cs="Times New Roman"/>
          <w:bCs/>
          <w:color w:val="000000"/>
          <w:sz w:val="28"/>
          <w:szCs w:val="28"/>
        </w:rPr>
        <w:t>подготовк</w:t>
      </w:r>
      <w:r w:rsidR="00A345E6">
        <w:rPr>
          <w:rFonts w:ascii="Times New Roman" w:eastAsia="Calibri" w:hAnsi="Times New Roman" w:cs="Times New Roman"/>
          <w:bCs/>
          <w:color w:val="000000"/>
          <w:sz w:val="28"/>
          <w:szCs w:val="28"/>
        </w:rPr>
        <w:t>и</w:t>
      </w:r>
      <w:r w:rsidR="003077DE">
        <w:rPr>
          <w:rFonts w:ascii="Times New Roman" w:eastAsia="Calibri" w:hAnsi="Times New Roman" w:cs="Times New Roman"/>
          <w:bCs/>
          <w:color w:val="000000"/>
          <w:sz w:val="28"/>
          <w:szCs w:val="28"/>
        </w:rPr>
        <w:t xml:space="preserve"> и размещени</w:t>
      </w:r>
      <w:r w:rsidR="00A345E6">
        <w:rPr>
          <w:rFonts w:ascii="Times New Roman" w:eastAsia="Calibri" w:hAnsi="Times New Roman" w:cs="Times New Roman"/>
          <w:bCs/>
          <w:color w:val="000000"/>
          <w:sz w:val="28"/>
          <w:szCs w:val="28"/>
        </w:rPr>
        <w:t>я</w:t>
      </w:r>
      <w:r w:rsidR="003077DE">
        <w:rPr>
          <w:rFonts w:ascii="Times New Roman" w:eastAsia="Calibri" w:hAnsi="Times New Roman" w:cs="Times New Roman"/>
          <w:bCs/>
          <w:color w:val="000000"/>
          <w:sz w:val="28"/>
          <w:szCs w:val="28"/>
        </w:rPr>
        <w:t xml:space="preserve"> «бюджета для граждан» на национальном языке</w:t>
      </w:r>
      <w:r w:rsidR="00A345E6">
        <w:rPr>
          <w:rFonts w:ascii="Times New Roman" w:eastAsia="Calibri" w:hAnsi="Times New Roman" w:cs="Times New Roman"/>
          <w:bCs/>
          <w:color w:val="000000"/>
          <w:sz w:val="28"/>
          <w:szCs w:val="28"/>
        </w:rPr>
        <w:t xml:space="preserve"> (языках)</w:t>
      </w:r>
      <w:r w:rsidR="002F30D3">
        <w:rPr>
          <w:rFonts w:ascii="Times New Roman" w:eastAsia="Calibri" w:hAnsi="Times New Roman" w:cs="Times New Roman"/>
          <w:bCs/>
          <w:color w:val="000000"/>
          <w:sz w:val="28"/>
          <w:szCs w:val="28"/>
        </w:rPr>
        <w:t xml:space="preserve">, являющимся государственным языком </w:t>
      </w:r>
      <w:r w:rsidR="00A345E6">
        <w:rPr>
          <w:rFonts w:ascii="Times New Roman" w:eastAsia="Calibri" w:hAnsi="Times New Roman" w:cs="Times New Roman"/>
          <w:bCs/>
          <w:color w:val="000000"/>
          <w:sz w:val="28"/>
          <w:szCs w:val="28"/>
        </w:rPr>
        <w:t xml:space="preserve">(языками) </w:t>
      </w:r>
      <w:r w:rsidR="002F30D3">
        <w:rPr>
          <w:rFonts w:ascii="Times New Roman" w:eastAsia="Calibri" w:hAnsi="Times New Roman" w:cs="Times New Roman"/>
          <w:bCs/>
          <w:color w:val="000000"/>
          <w:sz w:val="28"/>
          <w:szCs w:val="28"/>
        </w:rPr>
        <w:t>в субъекте Российской Федерации</w:t>
      </w:r>
      <w:r w:rsidR="003077DE">
        <w:rPr>
          <w:rFonts w:ascii="Times New Roman" w:eastAsia="Calibri" w:hAnsi="Times New Roman" w:cs="Times New Roman"/>
          <w:bCs/>
          <w:color w:val="000000"/>
          <w:sz w:val="28"/>
          <w:szCs w:val="28"/>
        </w:rPr>
        <w:t xml:space="preserve"> </w:t>
      </w:r>
      <w:r w:rsidR="002F30D3">
        <w:rPr>
          <w:rFonts w:ascii="Times New Roman" w:eastAsia="Calibri" w:hAnsi="Times New Roman" w:cs="Times New Roman"/>
          <w:bCs/>
          <w:color w:val="000000"/>
          <w:sz w:val="28"/>
          <w:szCs w:val="28"/>
        </w:rPr>
        <w:t xml:space="preserve">наряду с русским языком, </w:t>
      </w:r>
      <w:r w:rsidR="00A345E6">
        <w:rPr>
          <w:rFonts w:ascii="Times New Roman" w:eastAsia="Calibri" w:hAnsi="Times New Roman" w:cs="Times New Roman"/>
          <w:bCs/>
          <w:color w:val="000000"/>
          <w:sz w:val="28"/>
          <w:szCs w:val="28"/>
        </w:rPr>
        <w:t>при условии соблюдения</w:t>
      </w:r>
      <w:r w:rsidR="003077DE">
        <w:rPr>
          <w:rFonts w:ascii="Times New Roman" w:eastAsia="Calibri" w:hAnsi="Times New Roman" w:cs="Times New Roman"/>
          <w:bCs/>
          <w:color w:val="000000"/>
          <w:sz w:val="28"/>
          <w:szCs w:val="28"/>
        </w:rPr>
        <w:t xml:space="preserve"> требований по содержанию, месту и сроку размещения информации, </w:t>
      </w:r>
      <w:r w:rsidR="00A345E6">
        <w:rPr>
          <w:rFonts w:ascii="Times New Roman" w:eastAsia="Calibri" w:hAnsi="Times New Roman" w:cs="Times New Roman"/>
          <w:bCs/>
          <w:color w:val="000000"/>
          <w:sz w:val="28"/>
          <w:szCs w:val="28"/>
        </w:rPr>
        <w:t>предъявляемых к</w:t>
      </w:r>
      <w:r w:rsidR="003077DE">
        <w:rPr>
          <w:rFonts w:ascii="Times New Roman" w:eastAsia="Calibri" w:hAnsi="Times New Roman" w:cs="Times New Roman"/>
          <w:bCs/>
          <w:color w:val="000000"/>
          <w:sz w:val="28"/>
          <w:szCs w:val="28"/>
        </w:rPr>
        <w:t xml:space="preserve"> показателя</w:t>
      </w:r>
      <w:r w:rsidR="00A345E6">
        <w:rPr>
          <w:rFonts w:ascii="Times New Roman" w:eastAsia="Calibri" w:hAnsi="Times New Roman" w:cs="Times New Roman"/>
          <w:bCs/>
          <w:color w:val="000000"/>
          <w:sz w:val="28"/>
          <w:szCs w:val="28"/>
        </w:rPr>
        <w:t>м</w:t>
      </w:r>
      <w:r w:rsidR="003077DE">
        <w:rPr>
          <w:rFonts w:ascii="Times New Roman" w:eastAsia="Calibri" w:hAnsi="Times New Roman" w:cs="Times New Roman"/>
          <w:bCs/>
          <w:color w:val="000000"/>
          <w:sz w:val="28"/>
          <w:szCs w:val="28"/>
        </w:rPr>
        <w:t xml:space="preserve"> 6.1, 6.4 и 6.8.</w:t>
      </w:r>
      <w:r w:rsidR="002F30D3">
        <w:rPr>
          <w:rFonts w:ascii="Times New Roman" w:eastAsia="Calibri" w:hAnsi="Times New Roman" w:cs="Times New Roman"/>
          <w:bCs/>
          <w:color w:val="000000"/>
          <w:sz w:val="28"/>
          <w:szCs w:val="28"/>
        </w:rPr>
        <w:t xml:space="preserve"> </w:t>
      </w:r>
    </w:p>
    <w:p w14:paraId="6EB51C97" w14:textId="02E89B3E" w:rsidR="009F676B" w:rsidRPr="00AF5B06" w:rsidRDefault="009F676B" w:rsidP="009F676B">
      <w:pPr>
        <w:pStyle w:val="a7"/>
        <w:numPr>
          <w:ilvl w:val="1"/>
          <w:numId w:val="18"/>
        </w:numPr>
        <w:tabs>
          <w:tab w:val="left" w:pos="1276"/>
        </w:tabs>
        <w:spacing w:before="120"/>
        <w:ind w:left="0" w:firstLine="709"/>
        <w:rPr>
          <w:rFonts w:eastAsia="Calibri" w:cs="Times New Roman"/>
          <w:b/>
          <w:bCs/>
          <w:color w:val="000000"/>
          <w:lang w:val="ru-RU"/>
        </w:rPr>
      </w:pPr>
      <w:r w:rsidRPr="000B583A">
        <w:rPr>
          <w:rFonts w:eastAsia="Calibri" w:cs="Times New Roman"/>
          <w:bCs/>
          <w:color w:val="000000"/>
          <w:lang w:val="ru-RU"/>
        </w:rPr>
        <w:t xml:space="preserve">Использование при оценке качества управления муниципальными финансами результатов оценки уровня открытости бюджетных данных </w:t>
      </w:r>
      <w:r w:rsidR="00AF5B06" w:rsidRPr="000B583A">
        <w:rPr>
          <w:rFonts w:eastAsia="Calibri" w:cs="Times New Roman"/>
          <w:bCs/>
          <w:color w:val="000000"/>
          <w:lang w:val="ru-RU"/>
        </w:rPr>
        <w:t>в муниципальных образованиях</w:t>
      </w:r>
    </w:p>
    <w:p w14:paraId="702C9BBD" w14:textId="30984CC7" w:rsidR="009F676B" w:rsidRDefault="00AF5B06" w:rsidP="009F676B">
      <w:pPr>
        <w:tabs>
          <w:tab w:val="left" w:pos="1134"/>
        </w:tabs>
        <w:spacing w:after="0" w:line="36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Ряд субъектов Российской Федерации провод</w:t>
      </w:r>
      <w:r w:rsidR="005B7A61">
        <w:rPr>
          <w:rFonts w:ascii="Times New Roman" w:eastAsia="Calibri" w:hAnsi="Times New Roman" w:cs="Times New Roman"/>
          <w:bCs/>
          <w:color w:val="000000"/>
          <w:sz w:val="28"/>
          <w:szCs w:val="28"/>
        </w:rPr>
        <w:t>и</w:t>
      </w:r>
      <w:r>
        <w:rPr>
          <w:rFonts w:ascii="Times New Roman" w:eastAsia="Calibri" w:hAnsi="Times New Roman" w:cs="Times New Roman"/>
          <w:bCs/>
          <w:color w:val="000000"/>
          <w:sz w:val="28"/>
          <w:szCs w:val="28"/>
        </w:rPr>
        <w:t xml:space="preserve">т </w:t>
      </w:r>
      <w:r w:rsidR="009F676B" w:rsidRPr="009F676B">
        <w:rPr>
          <w:rFonts w:ascii="Times New Roman" w:eastAsia="Calibri" w:hAnsi="Times New Roman" w:cs="Times New Roman"/>
          <w:bCs/>
          <w:color w:val="000000"/>
          <w:sz w:val="28"/>
          <w:szCs w:val="28"/>
        </w:rPr>
        <w:t>мониторинг и оценк</w:t>
      </w:r>
      <w:r>
        <w:rPr>
          <w:rFonts w:ascii="Times New Roman" w:eastAsia="Calibri" w:hAnsi="Times New Roman" w:cs="Times New Roman"/>
          <w:bCs/>
          <w:color w:val="000000"/>
          <w:sz w:val="28"/>
          <w:szCs w:val="28"/>
        </w:rPr>
        <w:t>у</w:t>
      </w:r>
      <w:r w:rsidR="009F676B" w:rsidRPr="009F676B">
        <w:rPr>
          <w:rFonts w:ascii="Times New Roman" w:eastAsia="Calibri" w:hAnsi="Times New Roman" w:cs="Times New Roman"/>
          <w:bCs/>
          <w:color w:val="000000"/>
          <w:sz w:val="28"/>
          <w:szCs w:val="28"/>
        </w:rPr>
        <w:t xml:space="preserve"> уровня открытости бюджетных данных в муниципальных образованиях</w:t>
      </w:r>
      <w:r>
        <w:rPr>
          <w:rFonts w:ascii="Times New Roman" w:eastAsia="Calibri" w:hAnsi="Times New Roman" w:cs="Times New Roman"/>
          <w:bCs/>
          <w:color w:val="000000"/>
          <w:sz w:val="28"/>
          <w:szCs w:val="28"/>
        </w:rPr>
        <w:t xml:space="preserve"> и составля</w:t>
      </w:r>
      <w:r w:rsidR="005B7A61">
        <w:rPr>
          <w:rFonts w:ascii="Times New Roman" w:eastAsia="Calibri" w:hAnsi="Times New Roman" w:cs="Times New Roman"/>
          <w:bCs/>
          <w:color w:val="000000"/>
          <w:sz w:val="28"/>
          <w:szCs w:val="28"/>
        </w:rPr>
        <w:t>е</w:t>
      </w:r>
      <w:r>
        <w:rPr>
          <w:rFonts w:ascii="Times New Roman" w:eastAsia="Calibri" w:hAnsi="Times New Roman" w:cs="Times New Roman"/>
          <w:bCs/>
          <w:color w:val="000000"/>
          <w:sz w:val="28"/>
          <w:szCs w:val="28"/>
        </w:rPr>
        <w:t>т по итогам такой оценки рейтинг</w:t>
      </w:r>
      <w:r w:rsidR="009F676B" w:rsidRPr="009F676B">
        <w:rPr>
          <w:rFonts w:ascii="Times New Roman" w:eastAsia="Calibri" w:hAnsi="Times New Roman" w:cs="Times New Roman"/>
          <w:bCs/>
          <w:color w:val="000000"/>
          <w:sz w:val="28"/>
          <w:szCs w:val="28"/>
        </w:rPr>
        <w:t xml:space="preserve"> открытости </w:t>
      </w:r>
      <w:r>
        <w:rPr>
          <w:rFonts w:ascii="Times New Roman" w:eastAsia="Calibri" w:hAnsi="Times New Roman" w:cs="Times New Roman"/>
          <w:bCs/>
          <w:color w:val="000000"/>
          <w:sz w:val="28"/>
          <w:szCs w:val="28"/>
        </w:rPr>
        <w:t xml:space="preserve">бюджетных данных </w:t>
      </w:r>
      <w:r w:rsidR="009F676B" w:rsidRPr="009F676B">
        <w:rPr>
          <w:rFonts w:ascii="Times New Roman" w:eastAsia="Calibri" w:hAnsi="Times New Roman" w:cs="Times New Roman"/>
          <w:bCs/>
          <w:color w:val="000000"/>
          <w:sz w:val="28"/>
          <w:szCs w:val="28"/>
        </w:rPr>
        <w:t>муниципальных образований в субъекте Российской Федерации</w:t>
      </w:r>
      <w:r>
        <w:rPr>
          <w:rStyle w:val="a5"/>
          <w:rFonts w:ascii="Times New Roman" w:eastAsia="Calibri" w:hAnsi="Times New Roman" w:cs="Times New Roman"/>
          <w:bCs/>
          <w:color w:val="000000"/>
          <w:sz w:val="28"/>
          <w:szCs w:val="28"/>
        </w:rPr>
        <w:footnoteReference w:id="5"/>
      </w:r>
      <w:r w:rsidR="009F676B" w:rsidRPr="009F676B">
        <w:rPr>
          <w:rFonts w:ascii="Times New Roman" w:eastAsia="Calibri" w:hAnsi="Times New Roman" w:cs="Times New Roman"/>
          <w:bCs/>
          <w:color w:val="000000"/>
          <w:sz w:val="28"/>
          <w:szCs w:val="28"/>
        </w:rPr>
        <w:t>.</w:t>
      </w:r>
      <w:r>
        <w:rPr>
          <w:rFonts w:ascii="Times New Roman" w:eastAsia="Calibri" w:hAnsi="Times New Roman" w:cs="Times New Roman"/>
          <w:bCs/>
          <w:color w:val="000000"/>
          <w:sz w:val="28"/>
          <w:szCs w:val="28"/>
        </w:rPr>
        <w:t xml:space="preserve"> Вместе с тем при оценке качества управления общественными финансами используется иной набор показателей, характеризующих открытость бюджетных данных, а результаты проведенной оценки открытости бюджетных данных не используются. Таким образом работа муниципальных образований по обеспечению открытости бюджетных данных оценивается </w:t>
      </w:r>
      <w:r w:rsidR="00B75B7D">
        <w:rPr>
          <w:rFonts w:ascii="Times New Roman" w:eastAsia="Calibri" w:hAnsi="Times New Roman" w:cs="Times New Roman"/>
          <w:bCs/>
          <w:color w:val="000000"/>
          <w:sz w:val="28"/>
          <w:szCs w:val="28"/>
        </w:rPr>
        <w:t>дважды с использованием различных методических подходов.</w:t>
      </w:r>
    </w:p>
    <w:p w14:paraId="11FCC29E" w14:textId="62D90B92" w:rsidR="00AF5B06" w:rsidRPr="009F676B" w:rsidRDefault="00AF5B06" w:rsidP="009F676B">
      <w:pPr>
        <w:tabs>
          <w:tab w:val="left" w:pos="1134"/>
        </w:tabs>
        <w:spacing w:after="0" w:line="36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lastRenderedPageBreak/>
        <w:t xml:space="preserve">Предлагается </w:t>
      </w:r>
      <w:r w:rsidR="00B75B7D">
        <w:rPr>
          <w:rFonts w:ascii="Times New Roman" w:eastAsia="Calibri" w:hAnsi="Times New Roman" w:cs="Times New Roman"/>
          <w:bCs/>
          <w:color w:val="000000"/>
          <w:sz w:val="28"/>
          <w:szCs w:val="28"/>
        </w:rPr>
        <w:t>начислять бонус в размере 1 балла в случае учета проведенной оценки открытости бюджетных данных в оценке качества управления муниципальными финансами.</w:t>
      </w:r>
    </w:p>
    <w:p w14:paraId="4A18C787" w14:textId="6D7E352F" w:rsidR="00385B06" w:rsidRPr="00E4286C" w:rsidRDefault="00007514" w:rsidP="00385B06">
      <w:pPr>
        <w:pStyle w:val="a7"/>
        <w:numPr>
          <w:ilvl w:val="0"/>
          <w:numId w:val="18"/>
        </w:numPr>
        <w:tabs>
          <w:tab w:val="left" w:pos="1134"/>
        </w:tabs>
        <w:spacing w:before="120"/>
        <w:ind w:left="0" w:firstLine="709"/>
        <w:rPr>
          <w:rFonts w:eastAsia="Calibri" w:cs="Times New Roman"/>
          <w:b/>
          <w:bCs/>
          <w:color w:val="000000"/>
          <w:lang w:val="ru-RU"/>
        </w:rPr>
      </w:pPr>
      <w:r w:rsidRPr="00E4286C">
        <w:rPr>
          <w:rFonts w:eastAsia="Calibri" w:cs="Times New Roman"/>
          <w:b/>
          <w:bCs/>
          <w:color w:val="000000"/>
          <w:lang w:val="ru-RU"/>
        </w:rPr>
        <w:t>Предложение (рекомендация) по указанию календарных дат размещения бюджетных данных на сайтах</w:t>
      </w:r>
    </w:p>
    <w:p w14:paraId="4026C6E4" w14:textId="5DC62B10" w:rsidR="00007514" w:rsidRPr="00007514" w:rsidRDefault="00385B06" w:rsidP="00385B06">
      <w:pPr>
        <w:tabs>
          <w:tab w:val="left" w:pos="1134"/>
        </w:tabs>
        <w:spacing w:after="0" w:line="360" w:lineRule="auto"/>
        <w:ind w:firstLine="709"/>
        <w:jc w:val="both"/>
        <w:rPr>
          <w:rFonts w:ascii="Times New Roman" w:eastAsia="Calibri" w:hAnsi="Times New Roman" w:cs="Arial"/>
          <w:color w:val="000000"/>
          <w:sz w:val="28"/>
          <w:szCs w:val="28"/>
        </w:rPr>
      </w:pPr>
      <w:r>
        <w:rPr>
          <w:rFonts w:ascii="Times New Roman" w:eastAsia="Calibri" w:hAnsi="Times New Roman" w:cs="Arial"/>
          <w:color w:val="000000"/>
          <w:sz w:val="28"/>
          <w:szCs w:val="28"/>
        </w:rPr>
        <w:t>Предлагается в</w:t>
      </w:r>
      <w:r w:rsidR="00007514" w:rsidRPr="00007514">
        <w:rPr>
          <w:rFonts w:ascii="Times New Roman" w:eastAsia="Calibri" w:hAnsi="Times New Roman" w:cs="Arial"/>
          <w:color w:val="000000"/>
          <w:sz w:val="28"/>
          <w:szCs w:val="28"/>
        </w:rPr>
        <w:t xml:space="preserve"> методик</w:t>
      </w:r>
      <w:r>
        <w:rPr>
          <w:rFonts w:ascii="Times New Roman" w:eastAsia="Calibri" w:hAnsi="Times New Roman" w:cs="Arial"/>
          <w:color w:val="000000"/>
          <w:sz w:val="28"/>
          <w:szCs w:val="28"/>
        </w:rPr>
        <w:t>у</w:t>
      </w:r>
      <w:r w:rsidR="00007514" w:rsidRPr="00007514">
        <w:rPr>
          <w:rFonts w:ascii="Times New Roman" w:eastAsia="Calibri" w:hAnsi="Times New Roman" w:cs="Arial"/>
          <w:color w:val="000000"/>
          <w:sz w:val="28"/>
          <w:szCs w:val="28"/>
        </w:rPr>
        <w:t xml:space="preserve"> составления рейтинга открытости за 2022 год </w:t>
      </w:r>
      <w:r>
        <w:rPr>
          <w:rFonts w:ascii="Times New Roman" w:eastAsia="Calibri" w:hAnsi="Times New Roman" w:cs="Arial"/>
          <w:color w:val="000000"/>
          <w:sz w:val="28"/>
          <w:szCs w:val="28"/>
        </w:rPr>
        <w:t>включить рекомендацию об указании</w:t>
      </w:r>
      <w:r w:rsidR="00007514" w:rsidRPr="00007514">
        <w:rPr>
          <w:rFonts w:ascii="Times New Roman" w:eastAsia="Calibri" w:hAnsi="Times New Roman" w:cs="Arial"/>
          <w:color w:val="000000"/>
          <w:sz w:val="28"/>
          <w:szCs w:val="28"/>
        </w:rPr>
        <w:t xml:space="preserve"> на сайте календарн</w:t>
      </w:r>
      <w:r w:rsidR="00093C5A">
        <w:rPr>
          <w:rFonts w:ascii="Times New Roman" w:eastAsia="Calibri" w:hAnsi="Times New Roman" w:cs="Arial"/>
          <w:color w:val="000000"/>
          <w:sz w:val="28"/>
          <w:szCs w:val="28"/>
        </w:rPr>
        <w:t>ых</w:t>
      </w:r>
      <w:r w:rsidR="00007514" w:rsidRPr="00007514">
        <w:rPr>
          <w:rFonts w:ascii="Times New Roman" w:eastAsia="Calibri" w:hAnsi="Times New Roman" w:cs="Arial"/>
          <w:color w:val="000000"/>
          <w:sz w:val="28"/>
          <w:szCs w:val="28"/>
        </w:rPr>
        <w:t xml:space="preserve"> дат размещения информации. 2022 год рассматривать как переходный период для решения технических вопросов, связанных с реализацией </w:t>
      </w:r>
      <w:r w:rsidR="00093C5A">
        <w:rPr>
          <w:rFonts w:ascii="Times New Roman" w:eastAsia="Calibri" w:hAnsi="Times New Roman" w:cs="Arial"/>
          <w:color w:val="000000"/>
          <w:sz w:val="28"/>
          <w:szCs w:val="28"/>
        </w:rPr>
        <w:t>такой</w:t>
      </w:r>
      <w:r w:rsidR="00007514" w:rsidRPr="00007514">
        <w:rPr>
          <w:rFonts w:ascii="Times New Roman" w:eastAsia="Calibri" w:hAnsi="Times New Roman" w:cs="Arial"/>
          <w:color w:val="000000"/>
          <w:sz w:val="28"/>
          <w:szCs w:val="28"/>
        </w:rPr>
        <w:t xml:space="preserve"> рекомендации. С 2023 года ввести понижающий коэффициент, применяемый к оценке показателей за отсутствие на сайте календарной даты размещения информации.</w:t>
      </w:r>
      <w:r w:rsidR="00C44270">
        <w:rPr>
          <w:rFonts w:ascii="Times New Roman" w:eastAsia="Calibri" w:hAnsi="Times New Roman" w:cs="Arial"/>
          <w:color w:val="000000"/>
          <w:sz w:val="28"/>
          <w:szCs w:val="28"/>
        </w:rPr>
        <w:t xml:space="preserve"> </w:t>
      </w:r>
    </w:p>
    <w:p w14:paraId="2AA8EA6D"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Данное предложение связано с реализацией одного из важных принципов обеспечения открытости бюджетных данных, а именно принципа регулярности и своевременности. Для пользователей бюджетными данными имеет значение календарная дата публикации информации. Если дата публикации не указана, возникают затруднения, связанные с пониманием того, актуальны размещенные сведения или нет.</w:t>
      </w:r>
    </w:p>
    <w:p w14:paraId="1D3CF9EB" w14:textId="642914BD" w:rsidR="00093C5A" w:rsidRPr="00E4286C" w:rsidRDefault="00007514" w:rsidP="000B583A">
      <w:pPr>
        <w:pStyle w:val="a7"/>
        <w:keepNext/>
        <w:numPr>
          <w:ilvl w:val="0"/>
          <w:numId w:val="18"/>
        </w:numPr>
        <w:tabs>
          <w:tab w:val="left" w:pos="1134"/>
        </w:tabs>
        <w:spacing w:before="120"/>
        <w:ind w:left="0" w:firstLine="709"/>
        <w:rPr>
          <w:rFonts w:eastAsia="Calibri" w:cs="Times New Roman"/>
          <w:b/>
          <w:bCs/>
          <w:color w:val="000000"/>
          <w:lang w:val="ru-RU"/>
        </w:rPr>
      </w:pPr>
      <w:r w:rsidRPr="00E4286C">
        <w:rPr>
          <w:rFonts w:eastAsia="Calibri" w:cs="Times New Roman"/>
          <w:b/>
          <w:bCs/>
          <w:color w:val="000000"/>
          <w:lang w:val="ru-RU"/>
        </w:rPr>
        <w:t>Предложение по уточнению подхода к оценке показателей, размещаемых пакетом документов</w:t>
      </w:r>
    </w:p>
    <w:p w14:paraId="11F6D42A" w14:textId="1686EA8F" w:rsidR="00007514" w:rsidRPr="00007514" w:rsidRDefault="00093C5A"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Предлагается у</w:t>
      </w:r>
      <w:r w:rsidR="00007514" w:rsidRPr="00007514">
        <w:rPr>
          <w:rFonts w:ascii="Times New Roman" w:eastAsia="Calibri" w:hAnsi="Times New Roman" w:cs="Times New Roman"/>
          <w:bCs/>
          <w:color w:val="000000"/>
          <w:sz w:val="28"/>
          <w:szCs w:val="28"/>
        </w:rPr>
        <w:t>точнить подход к оценке показателей, источником данных для которых является пакет документов</w:t>
      </w:r>
      <w:r>
        <w:rPr>
          <w:rFonts w:ascii="Times New Roman" w:eastAsia="Calibri" w:hAnsi="Times New Roman" w:cs="Times New Roman"/>
          <w:bCs/>
          <w:color w:val="000000"/>
          <w:sz w:val="28"/>
          <w:szCs w:val="28"/>
        </w:rPr>
        <w:t xml:space="preserve">: </w:t>
      </w:r>
      <w:r w:rsidR="00007514" w:rsidRPr="00007514">
        <w:rPr>
          <w:rFonts w:ascii="Times New Roman" w:eastAsia="Calibri" w:hAnsi="Times New Roman" w:cs="Times New Roman"/>
          <w:bCs/>
          <w:color w:val="000000"/>
          <w:sz w:val="28"/>
          <w:szCs w:val="28"/>
        </w:rPr>
        <w:t xml:space="preserve">законопроект и материалы к нему.  Если в пакете документов законопроект отсутствует или размещен не в полном объеме (например, отсутствует одно, несколько или все приложения к законопроекту), не рассматривать другие документы и материалы для оценки показателей.  Предложение обусловлено тем, что все остальные материалы поясняют законопроект в какой-то его части. Если законопроект отсутствует, смысл в пояснениях теряется. </w:t>
      </w:r>
    </w:p>
    <w:p w14:paraId="45361AA3"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Данное предложение касается разделов 2, 4, 5 рейтинга открытости.    </w:t>
      </w:r>
    </w:p>
    <w:p w14:paraId="47A8AEB7" w14:textId="1619008A" w:rsidR="00007514" w:rsidRPr="00E4286C" w:rsidRDefault="00007514" w:rsidP="00093C5A">
      <w:pPr>
        <w:pStyle w:val="a7"/>
        <w:numPr>
          <w:ilvl w:val="0"/>
          <w:numId w:val="18"/>
        </w:numPr>
        <w:tabs>
          <w:tab w:val="left" w:pos="1134"/>
        </w:tabs>
        <w:spacing w:before="120"/>
        <w:ind w:left="0" w:firstLine="709"/>
        <w:rPr>
          <w:rFonts w:eastAsia="Calibri" w:cs="Times New Roman"/>
          <w:b/>
          <w:bCs/>
          <w:color w:val="000000"/>
          <w:lang w:val="ru-RU"/>
        </w:rPr>
      </w:pPr>
      <w:r w:rsidRPr="00E4286C">
        <w:rPr>
          <w:rFonts w:eastAsia="Calibri" w:cs="Times New Roman"/>
          <w:b/>
          <w:bCs/>
          <w:color w:val="000000"/>
          <w:lang w:val="ru-RU"/>
        </w:rPr>
        <w:lastRenderedPageBreak/>
        <w:t>Предложения по уточнению подходов к оценке отдельных показателей рейтинга и по новым показателям, предлагаемым к включению в расчет рейтинга открытости</w:t>
      </w:r>
    </w:p>
    <w:p w14:paraId="2BBB4583" w14:textId="6B9360EC" w:rsidR="00E4286C" w:rsidRPr="000B583A" w:rsidRDefault="00007514" w:rsidP="00E4286C">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w:t>
      </w:r>
      <w:r w:rsidR="00093C5A" w:rsidRPr="000B583A">
        <w:rPr>
          <w:rFonts w:eastAsia="Calibri" w:cs="Times New Roman"/>
          <w:bCs/>
          <w:color w:val="000000"/>
          <w:lang w:val="ru-RU"/>
        </w:rPr>
        <w:t xml:space="preserve"> </w:t>
      </w:r>
      <w:r w:rsidR="00E4286C" w:rsidRPr="000B583A">
        <w:rPr>
          <w:rFonts w:eastAsia="Calibri" w:cs="Times New Roman"/>
          <w:bCs/>
          <w:color w:val="000000"/>
          <w:lang w:val="ru-RU"/>
        </w:rPr>
        <w:t>1.4</w:t>
      </w:r>
      <w:r w:rsidRPr="000B583A">
        <w:rPr>
          <w:rFonts w:eastAsia="Calibri" w:cs="Times New Roman"/>
          <w:bCs/>
          <w:color w:val="000000"/>
          <w:lang w:val="ru-RU"/>
        </w:rPr>
        <w:t xml:space="preserve"> </w:t>
      </w:r>
    </w:p>
    <w:p w14:paraId="2D43719B" w14:textId="4A66834A" w:rsidR="00007514" w:rsidRPr="0089296E" w:rsidRDefault="00007514" w:rsidP="00E4286C">
      <w:pPr>
        <w:pStyle w:val="a7"/>
        <w:tabs>
          <w:tab w:val="left" w:pos="1276"/>
        </w:tabs>
        <w:snapToGrid w:val="0"/>
        <w:ind w:left="0" w:firstLine="709"/>
        <w:contextualSpacing w:val="0"/>
        <w:rPr>
          <w:rFonts w:eastAsia="Calibri" w:cs="Times New Roman"/>
          <w:bCs/>
          <w:color w:val="000000"/>
          <w:lang w:val="ru-RU"/>
        </w:rPr>
      </w:pPr>
      <w:r w:rsidRPr="0089296E">
        <w:rPr>
          <w:rFonts w:eastAsia="Calibri" w:cs="Times New Roman"/>
          <w:bCs/>
          <w:color w:val="000000"/>
          <w:lang w:val="ru-RU"/>
        </w:rPr>
        <w:t>Предлагается расширить состав оцениваемых данных</w:t>
      </w:r>
      <w:r w:rsidR="0089296E">
        <w:rPr>
          <w:rFonts w:eastAsia="Calibri" w:cs="Times New Roman"/>
          <w:bCs/>
          <w:color w:val="000000"/>
          <w:lang w:val="ru-RU"/>
        </w:rPr>
        <w:t>, а именно:</w:t>
      </w:r>
      <w:r w:rsidRPr="0089296E">
        <w:rPr>
          <w:rFonts w:eastAsia="Calibri" w:cs="Times New Roman"/>
          <w:bCs/>
          <w:color w:val="000000"/>
          <w:lang w:val="ru-RU"/>
        </w:rPr>
        <w:t xml:space="preserve"> оценивать наличие в составе закона о бюджете сведений об объеме межбюджетных трансфертов, предусмотренных другим бюджетам бюджетной системы Российской Федерации с детализацией по формам межбюджетных трансфертов.</w:t>
      </w:r>
    </w:p>
    <w:p w14:paraId="0F6A19F5" w14:textId="77777777"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Предложение сформулировано в соответствии с решением, принятым в ходе обсуждения проекта Методики составления рейтинга открытости за 2021 год</w:t>
      </w:r>
      <w:r w:rsidRPr="00007514">
        <w:rPr>
          <w:rFonts w:ascii="Times New Roman" w:eastAsia="Calibri" w:hAnsi="Times New Roman" w:cs="Times New Roman"/>
          <w:bCs/>
          <w:color w:val="000000"/>
          <w:sz w:val="28"/>
          <w:szCs w:val="28"/>
          <w:vertAlign w:val="superscript"/>
          <w:lang w:val="en-US"/>
        </w:rPr>
        <w:footnoteReference w:id="6"/>
      </w:r>
      <w:r w:rsidRPr="00007514">
        <w:rPr>
          <w:rFonts w:ascii="Times New Roman" w:eastAsia="Calibri" w:hAnsi="Times New Roman" w:cs="Times New Roman"/>
          <w:bCs/>
          <w:color w:val="000000"/>
          <w:sz w:val="28"/>
          <w:szCs w:val="28"/>
        </w:rPr>
        <w:t xml:space="preserve">. </w:t>
      </w:r>
    </w:p>
    <w:p w14:paraId="74728CE4" w14:textId="77777777"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В Методике составления рейтинга открытости за 2021 год показатель 1.4 оценивает наличие в законе о бюджете сведений об объеме межбюджетных трансфертов, предусмотренных местным бюджетам с детализацией по формам межбюджетных трансфертов. Предлагается уточнить редакцию показателя 1.4, расширив состав оцениваемых сведений, поскольку межбюджетные трансферты из бюджетов субъектов Российской Федерации предоставляются не только местным бюджетам, но и другим бюджетам бюджетной системы Российской Федерации, и эта практика получает все большее распространение. Четкой и понятной информации об объемах межбюджетных трансфертов, предоставляемых другим бюджетам бюджетной системы Российской Федерации, в законах о бюджетах, как правило, нет. Каждый межбюджетный трансферт необходимо искать в ведомственной или программной структуре расходов. В ряде случаев невозможно понять, какому </w:t>
      </w:r>
      <w:r w:rsidRPr="00007514">
        <w:rPr>
          <w:rFonts w:ascii="Times New Roman" w:eastAsia="Calibri" w:hAnsi="Times New Roman" w:cs="Times New Roman"/>
          <w:bCs/>
          <w:color w:val="000000"/>
          <w:sz w:val="28"/>
          <w:szCs w:val="28"/>
        </w:rPr>
        <w:lastRenderedPageBreak/>
        <w:t>именно бюджету, в каком объеме и в какой форме предусмотрены межбюджетные трансферты.</w:t>
      </w:r>
    </w:p>
    <w:p w14:paraId="6993EC34" w14:textId="77777777"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Предлагаемые изменения позволят раскрыть информацию о межбюджетных трансфертах другим бюджетам бюджетной системы Российской Федерации. Для оценки показателя потребуется представление сведений о межбюджетных трансфертах, предусмотренных федеральному бюджету, бюджетам других субъектов Российской Федерации, местным бюджетам и бюджетам государственных внебюджетных фондов. Показатель предлагается оценивать в том числе для городов федерального значения.</w:t>
      </w:r>
    </w:p>
    <w:p w14:paraId="6AD97DF3" w14:textId="77777777"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Предлагаемая редакция показателя 1.4 (изменения выделены синим цветом):</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007514" w:rsidRPr="00007514" w14:paraId="7187C3A3" w14:textId="77777777" w:rsidTr="00A1680F">
        <w:trPr>
          <w:trHeight w:val="20"/>
        </w:trPr>
        <w:tc>
          <w:tcPr>
            <w:tcW w:w="709" w:type="dxa"/>
            <w:vMerge w:val="restart"/>
            <w:vAlign w:val="center"/>
          </w:tcPr>
          <w:p w14:paraId="34C1C52B"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 п/п</w:t>
            </w:r>
          </w:p>
        </w:tc>
        <w:tc>
          <w:tcPr>
            <w:tcW w:w="7088" w:type="dxa"/>
            <w:vMerge w:val="restart"/>
            <w:vAlign w:val="center"/>
          </w:tcPr>
          <w:p w14:paraId="08B5E00F"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Вопросы и варианты ответов</w:t>
            </w:r>
          </w:p>
        </w:tc>
        <w:tc>
          <w:tcPr>
            <w:tcW w:w="567" w:type="dxa"/>
            <w:vMerge w:val="restart"/>
            <w:textDirection w:val="btLr"/>
            <w:vAlign w:val="center"/>
          </w:tcPr>
          <w:p w14:paraId="44616655" w14:textId="77777777" w:rsidR="00007514" w:rsidRPr="00007514" w:rsidRDefault="00007514" w:rsidP="00007514">
            <w:pPr>
              <w:keepNext/>
              <w:spacing w:before="40" w:after="40" w:line="240" w:lineRule="auto"/>
              <w:ind w:left="113" w:right="113"/>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Баллы</w:t>
            </w:r>
          </w:p>
        </w:tc>
        <w:tc>
          <w:tcPr>
            <w:tcW w:w="1135" w:type="dxa"/>
            <w:gridSpan w:val="2"/>
            <w:tcBorders>
              <w:bottom w:val="single" w:sz="4" w:space="0" w:color="A6A6A6"/>
            </w:tcBorders>
            <w:vAlign w:val="center"/>
          </w:tcPr>
          <w:p w14:paraId="679F9E46"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Понижающие коэффициенты</w:t>
            </w:r>
          </w:p>
        </w:tc>
      </w:tr>
      <w:tr w:rsidR="00007514" w:rsidRPr="00007514" w14:paraId="760C835B" w14:textId="77777777" w:rsidTr="00A1680F">
        <w:trPr>
          <w:trHeight w:val="20"/>
        </w:trPr>
        <w:tc>
          <w:tcPr>
            <w:tcW w:w="709" w:type="dxa"/>
            <w:vMerge/>
            <w:tcBorders>
              <w:bottom w:val="single" w:sz="4" w:space="0" w:color="A6A6A6"/>
            </w:tcBorders>
            <w:vAlign w:val="center"/>
          </w:tcPr>
          <w:p w14:paraId="006926C0" w14:textId="77777777" w:rsidR="00007514" w:rsidRPr="00007514" w:rsidRDefault="00007514" w:rsidP="00007514">
            <w:pPr>
              <w:keepNext/>
              <w:spacing w:before="40" w:after="40" w:line="240" w:lineRule="auto"/>
              <w:ind w:firstLine="720"/>
              <w:jc w:val="center"/>
              <w:rPr>
                <w:rFonts w:ascii="Times New Roman" w:eastAsia="Times New Roman" w:hAnsi="Times New Roman" w:cs="Times New Roman"/>
                <w:color w:val="000000"/>
                <w:sz w:val="24"/>
                <w:szCs w:val="24"/>
                <w:lang w:eastAsia="ru-RU"/>
              </w:rPr>
            </w:pPr>
          </w:p>
        </w:tc>
        <w:tc>
          <w:tcPr>
            <w:tcW w:w="7088" w:type="dxa"/>
            <w:vMerge/>
            <w:tcBorders>
              <w:bottom w:val="single" w:sz="4" w:space="0" w:color="A6A6A6"/>
            </w:tcBorders>
            <w:vAlign w:val="center"/>
          </w:tcPr>
          <w:p w14:paraId="5D0041D4" w14:textId="77777777" w:rsidR="00007514" w:rsidRPr="00007514" w:rsidRDefault="00007514" w:rsidP="00007514">
            <w:pPr>
              <w:keepNext/>
              <w:spacing w:before="40" w:after="40" w:line="240" w:lineRule="auto"/>
              <w:ind w:firstLine="720"/>
              <w:jc w:val="both"/>
              <w:rPr>
                <w:rFonts w:ascii="Times New Roman" w:eastAsia="Times New Roman" w:hAnsi="Times New Roman" w:cs="Times New Roman"/>
                <w:caps/>
                <w:color w:val="000000"/>
                <w:sz w:val="24"/>
                <w:szCs w:val="24"/>
                <w:lang w:eastAsia="ru-RU"/>
              </w:rPr>
            </w:pPr>
          </w:p>
        </w:tc>
        <w:tc>
          <w:tcPr>
            <w:tcW w:w="567" w:type="dxa"/>
            <w:vMerge/>
            <w:tcBorders>
              <w:bottom w:val="single" w:sz="4" w:space="0" w:color="A6A6A6"/>
            </w:tcBorders>
            <w:vAlign w:val="center"/>
          </w:tcPr>
          <w:p w14:paraId="6DEA570D" w14:textId="77777777" w:rsidR="00007514" w:rsidRPr="00007514" w:rsidRDefault="00007514" w:rsidP="00007514">
            <w:pPr>
              <w:keepNext/>
              <w:spacing w:before="40" w:after="40" w:line="240" w:lineRule="auto"/>
              <w:ind w:firstLine="720"/>
              <w:jc w:val="center"/>
              <w:rPr>
                <w:rFonts w:ascii="Times New Roman" w:eastAsia="Times New Roman" w:hAnsi="Times New Roman" w:cs="Times New Roman"/>
                <w:color w:val="000000"/>
                <w:sz w:val="24"/>
                <w:szCs w:val="24"/>
                <w:lang w:eastAsia="ru-RU"/>
              </w:rPr>
            </w:pPr>
          </w:p>
        </w:tc>
        <w:tc>
          <w:tcPr>
            <w:tcW w:w="567" w:type="dxa"/>
            <w:tcBorders>
              <w:bottom w:val="single" w:sz="4" w:space="0" w:color="A6A6A6"/>
            </w:tcBorders>
            <w:vAlign w:val="center"/>
          </w:tcPr>
          <w:p w14:paraId="521A91AC"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К1</w:t>
            </w:r>
          </w:p>
        </w:tc>
        <w:tc>
          <w:tcPr>
            <w:tcW w:w="568" w:type="dxa"/>
            <w:tcBorders>
              <w:bottom w:val="single" w:sz="4" w:space="0" w:color="A6A6A6"/>
            </w:tcBorders>
            <w:vAlign w:val="center"/>
          </w:tcPr>
          <w:p w14:paraId="60534860"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К2</w:t>
            </w:r>
          </w:p>
        </w:tc>
      </w:tr>
      <w:tr w:rsidR="00007514" w:rsidRPr="00007514" w14:paraId="05AD4955" w14:textId="77777777" w:rsidTr="00A1680F">
        <w:trPr>
          <w:trHeight w:val="20"/>
        </w:trPr>
        <w:tc>
          <w:tcPr>
            <w:tcW w:w="709" w:type="dxa"/>
          </w:tcPr>
          <w:p w14:paraId="59183D42" w14:textId="77777777" w:rsidR="00007514" w:rsidRPr="00007514" w:rsidRDefault="00007514" w:rsidP="00007514">
            <w:pPr>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1.4</w:t>
            </w:r>
          </w:p>
        </w:tc>
        <w:tc>
          <w:tcPr>
            <w:tcW w:w="7088" w:type="dxa"/>
            <w:vAlign w:val="center"/>
          </w:tcPr>
          <w:p w14:paraId="11F2E8EB" w14:textId="77777777" w:rsidR="00007514" w:rsidRPr="00007514" w:rsidRDefault="00007514" w:rsidP="00007514">
            <w:pPr>
              <w:spacing w:before="40" w:after="40" w:line="240" w:lineRule="auto"/>
              <w:jc w:val="both"/>
              <w:rPr>
                <w:rFonts w:ascii="Times New Roman" w:eastAsia="Calibri" w:hAnsi="Times New Roman" w:cs="Arial"/>
                <w:b/>
                <w:color w:val="000000"/>
                <w:sz w:val="24"/>
                <w:szCs w:val="24"/>
                <w:lang w:eastAsia="ru-RU"/>
              </w:rPr>
            </w:pPr>
            <w:r w:rsidRPr="00007514">
              <w:rPr>
                <w:rFonts w:ascii="Times New Roman" w:eastAsia="Calibri" w:hAnsi="Times New Roman" w:cs="Arial"/>
                <w:b/>
                <w:color w:val="000000"/>
                <w:sz w:val="24"/>
                <w:szCs w:val="24"/>
                <w:lang w:eastAsia="ru-RU"/>
              </w:rPr>
              <w:t xml:space="preserve">Содержатся ли в составе закона о бюджете сведения </w:t>
            </w:r>
            <w:r w:rsidRPr="00007514">
              <w:rPr>
                <w:rFonts w:ascii="Times New Roman" w:eastAsia="Calibri" w:hAnsi="Times New Roman" w:cs="Arial"/>
                <w:b/>
                <w:color w:val="0070C0"/>
                <w:sz w:val="24"/>
                <w:szCs w:val="24"/>
                <w:lang w:eastAsia="ru-RU"/>
              </w:rPr>
              <w:t xml:space="preserve">об общем объеме межбюджетных трансфертов, предусмотренных другим бюджетам бюджетной системы Российской Федерации </w:t>
            </w:r>
            <w:r w:rsidRPr="00007514">
              <w:rPr>
                <w:rFonts w:ascii="Times New Roman" w:eastAsia="Calibri" w:hAnsi="Times New Roman" w:cs="Arial"/>
                <w:b/>
                <w:color w:val="000000"/>
                <w:sz w:val="24"/>
                <w:szCs w:val="24"/>
                <w:lang w:eastAsia="ru-RU"/>
              </w:rPr>
              <w:t xml:space="preserve">на 2022 год и на плановый период 2023 и 2024 годов, с детализацией </w:t>
            </w:r>
            <w:r w:rsidRPr="00007514">
              <w:rPr>
                <w:rFonts w:ascii="Times New Roman" w:eastAsia="Calibri" w:hAnsi="Times New Roman" w:cs="Arial"/>
                <w:b/>
                <w:color w:val="0070C0"/>
                <w:sz w:val="24"/>
                <w:szCs w:val="24"/>
                <w:lang w:eastAsia="ru-RU"/>
              </w:rPr>
              <w:t xml:space="preserve">по соответствующим бюджетам бюджетной системы Российской Федерации </w:t>
            </w:r>
            <w:r w:rsidRPr="00007514">
              <w:rPr>
                <w:rFonts w:ascii="Times New Roman" w:eastAsia="Calibri" w:hAnsi="Times New Roman" w:cs="Arial"/>
                <w:b/>
                <w:color w:val="000000"/>
                <w:sz w:val="24"/>
                <w:szCs w:val="24"/>
                <w:lang w:eastAsia="ru-RU"/>
              </w:rPr>
              <w:t>и формам межбюджетных трансфертов?</w:t>
            </w:r>
          </w:p>
          <w:p w14:paraId="2EDE2DFA"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В целях оценки показателя учитываются сведения об общем объеме межбюджетных трансфертов, содержащиеся в текстовой части закона о бюджете и (или) в приложении (приложениях) к закону о бюджете, которые непосредственно указывают общий объем межбюджетных трансфертов </w:t>
            </w:r>
            <w:r w:rsidRPr="00007514">
              <w:rPr>
                <w:rFonts w:ascii="Times New Roman" w:eastAsia="Calibri" w:hAnsi="Times New Roman" w:cs="Times New Roman"/>
                <w:color w:val="0070C0"/>
                <w:sz w:val="24"/>
                <w:szCs w:val="24"/>
                <w:lang w:eastAsia="ru-RU"/>
              </w:rPr>
              <w:t xml:space="preserve">другим бюджетам бюджетной системы Российской Федерации </w:t>
            </w:r>
            <w:r w:rsidRPr="00007514">
              <w:rPr>
                <w:rFonts w:ascii="Times New Roman" w:eastAsia="Calibri" w:hAnsi="Times New Roman" w:cs="Times New Roman"/>
                <w:color w:val="000000"/>
                <w:sz w:val="24"/>
                <w:szCs w:val="24"/>
                <w:lang w:eastAsia="ru-RU"/>
              </w:rPr>
              <w:t>на 2021 год и на плановый период 2022 и 2023 годов, в том числе:</w:t>
            </w:r>
          </w:p>
          <w:p w14:paraId="1C96A8EA"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общий объем дотаций бюджетам муниципальных образований;</w:t>
            </w:r>
          </w:p>
          <w:p w14:paraId="5ADACB5C"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общий объем субсидий бюджетам муниципальных образований;</w:t>
            </w:r>
          </w:p>
          <w:p w14:paraId="16B864A9"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общий объем субвенций бюджетам муниципальных образований;</w:t>
            </w:r>
          </w:p>
          <w:p w14:paraId="3AFA71E0"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общий объем иных межбюджетных трансфертов бюджетам муниципальных образований;</w:t>
            </w:r>
          </w:p>
          <w:p w14:paraId="34EF66FB"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общий объем межбюджетных трансфертов федеральному бюджету с указанием форм межбюджетных трансфертов (если законом о бюджете предусмотрены межбюджетные трансферты федеральному бюджету);</w:t>
            </w:r>
          </w:p>
          <w:p w14:paraId="5F4E8565"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lastRenderedPageBreak/>
              <w:t>общий объем межбюджетных трансфертов бюджетам государственных внебюджетных фондов с указанием конкретного фонда (фондов), которому (которым) предусмотрены межбюджетные трансферты (если законом о бюджете предусмотрены межбюджетные трансферты бюджетам государственных внебюджетных фондов);</w:t>
            </w:r>
          </w:p>
          <w:p w14:paraId="62606834" w14:textId="77777777" w:rsidR="00007514" w:rsidRPr="00007514" w:rsidRDefault="00007514" w:rsidP="00DE6C5C">
            <w:pPr>
              <w:numPr>
                <w:ilvl w:val="0"/>
                <w:numId w:val="4"/>
              </w:numPr>
              <w:tabs>
                <w:tab w:val="left" w:pos="353"/>
              </w:tabs>
              <w:spacing w:before="40" w:after="40" w:line="240" w:lineRule="auto"/>
              <w:ind w:left="34" w:firstLine="0"/>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общий объем межбюджетных трансфертов бюджетам субъектов Российской Федерации с указанием конкретного субъекта (субъектов) Российской Федерации, бюджету которого предусмотрен межбюджетный трансферт (трансферты), и форм межбюджетных трансфертов (если законом о бюджете предусмотрены межбюджетные трансферты бюджетам субъектов Российской Федерации).</w:t>
            </w:r>
          </w:p>
          <w:p w14:paraId="278A7E0A" w14:textId="2682C32A" w:rsidR="00007514" w:rsidRPr="00007514" w:rsidRDefault="00007514" w:rsidP="00007514">
            <w:pPr>
              <w:spacing w:before="40" w:after="40" w:line="240" w:lineRule="auto"/>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0000"/>
                <w:sz w:val="24"/>
                <w:szCs w:val="24"/>
              </w:rPr>
              <w:t xml:space="preserve">Используемые формулировки должны однозначно указывать, что речь идет об общем объеме межбюджетных трансфертов, предусмотренных </w:t>
            </w:r>
            <w:r w:rsidRPr="00007514">
              <w:rPr>
                <w:rFonts w:ascii="Times New Roman" w:eastAsia="Calibri" w:hAnsi="Times New Roman" w:cs="Times New Roman"/>
                <w:color w:val="0070C0"/>
                <w:sz w:val="24"/>
                <w:szCs w:val="24"/>
              </w:rPr>
              <w:t xml:space="preserve">другим бюджетам бюджетной системы Российской Федерации. Если в формулировке </w:t>
            </w:r>
            <w:r w:rsidR="00C85718">
              <w:rPr>
                <w:rFonts w:ascii="Times New Roman" w:eastAsia="Calibri" w:hAnsi="Times New Roman" w:cs="Times New Roman"/>
                <w:color w:val="0070C0"/>
                <w:sz w:val="24"/>
                <w:szCs w:val="24"/>
              </w:rPr>
              <w:t>указано об объеме</w:t>
            </w:r>
            <w:r w:rsidRPr="00007514">
              <w:rPr>
                <w:rFonts w:ascii="Times New Roman" w:eastAsia="Calibri" w:hAnsi="Times New Roman" w:cs="Times New Roman"/>
                <w:color w:val="0070C0"/>
                <w:sz w:val="24"/>
                <w:szCs w:val="24"/>
              </w:rPr>
              <w:t xml:space="preserve"> межбюджетных трансфертов, </w:t>
            </w:r>
            <w:r w:rsidRPr="00007514">
              <w:rPr>
                <w:rFonts w:ascii="Times New Roman" w:eastAsia="Calibri" w:hAnsi="Times New Roman" w:cs="Times New Roman"/>
                <w:i/>
                <w:color w:val="0070C0"/>
                <w:sz w:val="24"/>
                <w:szCs w:val="24"/>
              </w:rPr>
              <w:t>распределенных</w:t>
            </w:r>
            <w:r w:rsidRPr="00007514">
              <w:rPr>
                <w:rFonts w:ascii="Times New Roman" w:eastAsia="Calibri" w:hAnsi="Times New Roman" w:cs="Times New Roman"/>
                <w:color w:val="0070C0"/>
                <w:sz w:val="24"/>
                <w:szCs w:val="24"/>
              </w:rPr>
              <w:t xml:space="preserve"> по муниципальным образованиям, такие сведения не учитываются в целях оценки показателя. </w:t>
            </w:r>
          </w:p>
          <w:p w14:paraId="071215BC" w14:textId="77777777" w:rsidR="00007514" w:rsidRPr="00007514" w:rsidRDefault="00007514" w:rsidP="00007514">
            <w:pPr>
              <w:spacing w:before="40" w:after="40" w:line="240" w:lineRule="auto"/>
              <w:jc w:val="both"/>
              <w:rPr>
                <w:rFonts w:ascii="Times New Roman" w:eastAsia="Calibri" w:hAnsi="Times New Roman" w:cs="Times New Roman"/>
                <w:color w:val="0070C0"/>
                <w:sz w:val="24"/>
                <w:szCs w:val="24"/>
              </w:rPr>
            </w:pPr>
            <w:r w:rsidRPr="00007514">
              <w:rPr>
                <w:rFonts w:ascii="Times New Roman" w:eastAsia="Calibri" w:hAnsi="Times New Roman" w:cs="Times New Roman"/>
                <w:color w:val="0070C0"/>
                <w:sz w:val="24"/>
                <w:szCs w:val="24"/>
              </w:rPr>
              <w:t>Допускается представление сведений об объеме отдельных межбюджетных трансфертов одной формы для одного типа бюджетов (например, дотации местным бюджетам), если количество таких видов межбюджетных трансфертов не превышает трех. В этом случае к оценке показателя применяется понижающий коэффициент, используемый в связи с затрудненным поиском бюджетных данных. В иных случаях сведения об объеме отдельных межбюджетных трансфертов в целях оценки показателя не учитываются.</w:t>
            </w:r>
          </w:p>
          <w:p w14:paraId="5BD88771" w14:textId="77777777" w:rsidR="00007514" w:rsidRPr="00007514" w:rsidRDefault="00007514" w:rsidP="00007514">
            <w:pPr>
              <w:spacing w:before="40" w:after="40" w:line="240" w:lineRule="auto"/>
              <w:jc w:val="both"/>
              <w:rPr>
                <w:rFonts w:ascii="Times New Roman" w:eastAsia="Calibri" w:hAnsi="Times New Roman" w:cs="Times New Roman"/>
                <w:color w:val="0070C0"/>
                <w:sz w:val="24"/>
                <w:szCs w:val="24"/>
              </w:rPr>
            </w:pPr>
            <w:r w:rsidRPr="00007514">
              <w:rPr>
                <w:rFonts w:ascii="Times New Roman" w:eastAsia="Calibri" w:hAnsi="Times New Roman" w:cs="Times New Roman"/>
                <w:color w:val="0070C0"/>
                <w:sz w:val="24"/>
                <w:szCs w:val="24"/>
              </w:rPr>
              <w:t xml:space="preserve">В случае отсутствия сведений об общем объеме межбюджетных трансфертов другим бюджетам бюджетной системы Российской Федерации оценка показателя принимает значение ноль баллов. В случае если сумма объемов межбюджетных трансфертов по указанным составляющим отличается от общего объема межбюджетных трансфертов другим бюджетам бюджетной системы Российской Федерации, оценка показателя принимает значение ноль баллов. </w:t>
            </w:r>
          </w:p>
          <w:p w14:paraId="1CD0D218"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rPr>
            </w:pPr>
            <w:r w:rsidRPr="00007514">
              <w:rPr>
                <w:rFonts w:ascii="Times New Roman" w:eastAsia="Calibri" w:hAnsi="Times New Roman" w:cs="Times New Roman"/>
                <w:color w:val="000000"/>
                <w:sz w:val="24"/>
                <w:szCs w:val="24"/>
              </w:rPr>
              <w:t xml:space="preserve">При использовании неоднозначных формулировок или при выявлении недостоверных данных оценка показателя принимает значение 0 баллов. </w:t>
            </w:r>
          </w:p>
          <w:p w14:paraId="1218A69B" w14:textId="77777777" w:rsidR="00007514" w:rsidRPr="00007514" w:rsidRDefault="00007514" w:rsidP="00007514">
            <w:pPr>
              <w:spacing w:before="40" w:after="40" w:line="240" w:lineRule="auto"/>
              <w:jc w:val="both"/>
              <w:rPr>
                <w:rFonts w:ascii="Times New Roman" w:eastAsia="Calibri" w:hAnsi="Times New Roman" w:cs="Arial"/>
                <w:color w:val="000000"/>
                <w:sz w:val="24"/>
                <w:szCs w:val="24"/>
                <w:lang w:eastAsia="x-none"/>
              </w:rPr>
            </w:pPr>
            <w:r w:rsidRPr="00007514">
              <w:rPr>
                <w:rFonts w:ascii="Times New Roman" w:eastAsia="Calibri" w:hAnsi="Times New Roman" w:cs="Times New Roman"/>
                <w:color w:val="000000"/>
                <w:sz w:val="24"/>
                <w:szCs w:val="24"/>
                <w:lang w:eastAsia="x-none"/>
              </w:rPr>
              <w:t xml:space="preserve">Если в законе о бюджете сведения об общем объеме межбюджетных трансфертов, предусмотренных </w:t>
            </w:r>
            <w:r w:rsidRPr="00007514">
              <w:rPr>
                <w:rFonts w:ascii="Times New Roman" w:eastAsia="Calibri" w:hAnsi="Times New Roman" w:cs="Times New Roman"/>
                <w:color w:val="0070C0"/>
                <w:sz w:val="24"/>
                <w:szCs w:val="24"/>
                <w:lang w:eastAsia="x-none"/>
              </w:rPr>
              <w:t xml:space="preserve">другим бюджетам бюджетной системы Российской Федерации </w:t>
            </w:r>
            <w:r w:rsidRPr="00007514">
              <w:rPr>
                <w:rFonts w:ascii="Times New Roman" w:eastAsia="Calibri" w:hAnsi="Times New Roman" w:cs="Times New Roman"/>
                <w:color w:val="000000"/>
                <w:sz w:val="24"/>
                <w:szCs w:val="24"/>
                <w:lang w:eastAsia="x-none"/>
              </w:rPr>
              <w:t>с детализацией по формам межбюджетных трансфертов, содержатся только в составе ведомственной, программной или функциональной структуры расходов, применяется понижающий коэффициент, используемый в связи с затрудненным поиском бюджетных данных.</w:t>
            </w:r>
          </w:p>
        </w:tc>
        <w:tc>
          <w:tcPr>
            <w:tcW w:w="567" w:type="dxa"/>
          </w:tcPr>
          <w:p w14:paraId="56BC5183"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c>
          <w:tcPr>
            <w:tcW w:w="567" w:type="dxa"/>
          </w:tcPr>
          <w:p w14:paraId="118FFA31"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c>
          <w:tcPr>
            <w:tcW w:w="567" w:type="dxa"/>
          </w:tcPr>
          <w:p w14:paraId="5B7DD6FB"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r>
      <w:tr w:rsidR="00007514" w:rsidRPr="00007514" w14:paraId="13E77FB1" w14:textId="77777777" w:rsidTr="00A1680F">
        <w:trPr>
          <w:trHeight w:val="437"/>
        </w:trPr>
        <w:tc>
          <w:tcPr>
            <w:tcW w:w="709" w:type="dxa"/>
            <w:vAlign w:val="center"/>
          </w:tcPr>
          <w:p w14:paraId="63E2F5CD" w14:textId="77777777" w:rsidR="00007514" w:rsidRPr="00007514" w:rsidRDefault="00007514" w:rsidP="00007514">
            <w:pPr>
              <w:spacing w:before="40" w:after="40" w:line="240" w:lineRule="auto"/>
              <w:jc w:val="center"/>
              <w:rPr>
                <w:rFonts w:ascii="Times New Roman" w:eastAsia="Times New Roman" w:hAnsi="Times New Roman" w:cs="Times New Roman"/>
                <w:color w:val="000000"/>
                <w:sz w:val="24"/>
                <w:szCs w:val="24"/>
                <w:lang w:eastAsia="ru-RU"/>
              </w:rPr>
            </w:pPr>
          </w:p>
        </w:tc>
        <w:tc>
          <w:tcPr>
            <w:tcW w:w="7088" w:type="dxa"/>
            <w:vAlign w:val="center"/>
          </w:tcPr>
          <w:p w14:paraId="14FCB4F5" w14:textId="77777777" w:rsidR="00007514" w:rsidRPr="00007514" w:rsidRDefault="00007514" w:rsidP="00007514">
            <w:pPr>
              <w:spacing w:before="40" w:after="40" w:line="240" w:lineRule="auto"/>
              <w:ind w:left="192" w:hanging="16"/>
              <w:jc w:val="both"/>
              <w:rPr>
                <w:rFonts w:ascii="Times New Roman" w:eastAsia="Calibri" w:hAnsi="Times New Roman" w:cs="Arial"/>
                <w:i/>
                <w:color w:val="000000"/>
                <w:sz w:val="24"/>
                <w:szCs w:val="24"/>
                <w:lang w:eastAsia="ru-RU"/>
              </w:rPr>
            </w:pPr>
            <w:r w:rsidRPr="00007514">
              <w:rPr>
                <w:rFonts w:ascii="Times New Roman" w:eastAsia="Calibri" w:hAnsi="Times New Roman" w:cs="Arial"/>
                <w:i/>
                <w:color w:val="000000"/>
                <w:sz w:val="24"/>
                <w:szCs w:val="24"/>
                <w:lang w:eastAsia="ru-RU"/>
              </w:rPr>
              <w:t>Да, содержатся</w:t>
            </w:r>
          </w:p>
        </w:tc>
        <w:tc>
          <w:tcPr>
            <w:tcW w:w="567" w:type="dxa"/>
            <w:vAlign w:val="center"/>
          </w:tcPr>
          <w:p w14:paraId="3DB6DBAB" w14:textId="77777777" w:rsidR="00007514" w:rsidRPr="00007514" w:rsidRDefault="00007514" w:rsidP="00007514">
            <w:pPr>
              <w:spacing w:before="40" w:after="40" w:line="240" w:lineRule="auto"/>
              <w:ind w:left="33"/>
              <w:jc w:val="center"/>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2</w:t>
            </w:r>
          </w:p>
        </w:tc>
        <w:tc>
          <w:tcPr>
            <w:tcW w:w="567" w:type="dxa"/>
            <w:vAlign w:val="center"/>
          </w:tcPr>
          <w:p w14:paraId="2B15FF98" w14:textId="77777777" w:rsidR="00007514" w:rsidRPr="00007514" w:rsidRDefault="00007514" w:rsidP="00007514">
            <w:pPr>
              <w:spacing w:before="40" w:after="40" w:line="240" w:lineRule="auto"/>
              <w:ind w:left="33"/>
              <w:jc w:val="center"/>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0,5</w:t>
            </w:r>
          </w:p>
        </w:tc>
        <w:tc>
          <w:tcPr>
            <w:tcW w:w="567" w:type="dxa"/>
            <w:vAlign w:val="center"/>
          </w:tcPr>
          <w:p w14:paraId="05FB4735" w14:textId="77777777" w:rsidR="00007514" w:rsidRPr="00007514" w:rsidRDefault="00007514" w:rsidP="00007514">
            <w:pPr>
              <w:spacing w:before="40" w:after="40" w:line="240" w:lineRule="auto"/>
              <w:ind w:left="33"/>
              <w:jc w:val="center"/>
              <w:rPr>
                <w:rFonts w:ascii="Times New Roman" w:eastAsia="Calibri" w:hAnsi="Times New Roman" w:cs="Arial"/>
                <w:color w:val="000000"/>
                <w:sz w:val="24"/>
                <w:szCs w:val="24"/>
                <w:lang w:eastAsia="ru-RU"/>
              </w:rPr>
            </w:pPr>
          </w:p>
        </w:tc>
      </w:tr>
      <w:tr w:rsidR="00007514" w:rsidRPr="00007514" w14:paraId="209FC269" w14:textId="77777777" w:rsidTr="00A1680F">
        <w:trPr>
          <w:trHeight w:val="20"/>
        </w:trPr>
        <w:tc>
          <w:tcPr>
            <w:tcW w:w="709" w:type="dxa"/>
            <w:vAlign w:val="center"/>
          </w:tcPr>
          <w:p w14:paraId="331A6F0F" w14:textId="77777777" w:rsidR="00007514" w:rsidRPr="00007514" w:rsidRDefault="00007514" w:rsidP="00007514">
            <w:pPr>
              <w:spacing w:before="40" w:after="40" w:line="240" w:lineRule="auto"/>
              <w:jc w:val="center"/>
              <w:rPr>
                <w:rFonts w:ascii="Times New Roman" w:eastAsia="Times New Roman" w:hAnsi="Times New Roman" w:cs="Times New Roman"/>
                <w:color w:val="000000"/>
                <w:sz w:val="24"/>
                <w:szCs w:val="24"/>
                <w:lang w:eastAsia="ru-RU"/>
              </w:rPr>
            </w:pPr>
          </w:p>
        </w:tc>
        <w:tc>
          <w:tcPr>
            <w:tcW w:w="7088" w:type="dxa"/>
            <w:vAlign w:val="center"/>
          </w:tcPr>
          <w:p w14:paraId="18237069" w14:textId="77777777" w:rsidR="00007514" w:rsidRPr="00007514" w:rsidRDefault="00007514" w:rsidP="00007514">
            <w:pPr>
              <w:spacing w:before="40" w:after="40" w:line="240" w:lineRule="auto"/>
              <w:ind w:left="192" w:hanging="16"/>
              <w:jc w:val="both"/>
              <w:rPr>
                <w:rFonts w:ascii="Times New Roman" w:eastAsia="Calibri" w:hAnsi="Times New Roman" w:cs="Arial"/>
                <w:i/>
                <w:color w:val="000000"/>
                <w:sz w:val="24"/>
                <w:szCs w:val="24"/>
                <w:lang w:eastAsia="ru-RU"/>
              </w:rPr>
            </w:pPr>
            <w:r w:rsidRPr="00007514">
              <w:rPr>
                <w:rFonts w:ascii="Times New Roman" w:eastAsia="Calibri" w:hAnsi="Times New Roman" w:cs="Arial"/>
                <w:i/>
                <w:color w:val="000000"/>
                <w:sz w:val="24"/>
                <w:szCs w:val="24"/>
                <w:lang w:eastAsia="ru-RU"/>
              </w:rPr>
              <w:t xml:space="preserve">Нет, не содержатся, или представлены частично, или не дают однозначного понимания, что это общий объем </w:t>
            </w:r>
            <w:r w:rsidRPr="00007514">
              <w:rPr>
                <w:rFonts w:ascii="Times New Roman" w:eastAsia="Calibri" w:hAnsi="Times New Roman" w:cs="Arial"/>
                <w:i/>
                <w:color w:val="000000"/>
                <w:sz w:val="24"/>
                <w:szCs w:val="24"/>
                <w:lang w:eastAsia="ru-RU"/>
              </w:rPr>
              <w:lastRenderedPageBreak/>
              <w:t xml:space="preserve">межбюджетных трансфертов, предусмотренных </w:t>
            </w:r>
            <w:r w:rsidRPr="00007514">
              <w:rPr>
                <w:rFonts w:ascii="Times New Roman" w:eastAsia="Calibri" w:hAnsi="Times New Roman" w:cs="Arial"/>
                <w:i/>
                <w:color w:val="0070C0"/>
                <w:sz w:val="24"/>
                <w:szCs w:val="24"/>
                <w:lang w:eastAsia="ru-RU"/>
              </w:rPr>
              <w:t>другим бюджетам бюджетной системы Российской Федерации</w:t>
            </w:r>
            <w:r w:rsidRPr="00007514">
              <w:rPr>
                <w:rFonts w:ascii="Times New Roman" w:eastAsia="Calibri" w:hAnsi="Times New Roman" w:cs="Arial"/>
                <w:i/>
                <w:color w:val="000000"/>
                <w:sz w:val="24"/>
                <w:szCs w:val="24"/>
                <w:lang w:eastAsia="ru-RU"/>
              </w:rPr>
              <w:t>, или сведения недостоверны</w:t>
            </w:r>
          </w:p>
        </w:tc>
        <w:tc>
          <w:tcPr>
            <w:tcW w:w="567" w:type="dxa"/>
            <w:vAlign w:val="center"/>
          </w:tcPr>
          <w:p w14:paraId="229C3D72" w14:textId="77777777" w:rsidR="00007514" w:rsidRPr="00007514" w:rsidRDefault="00007514" w:rsidP="00007514">
            <w:pPr>
              <w:spacing w:before="40" w:after="40" w:line="240" w:lineRule="auto"/>
              <w:ind w:left="33"/>
              <w:jc w:val="center"/>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lastRenderedPageBreak/>
              <w:t>0</w:t>
            </w:r>
          </w:p>
        </w:tc>
        <w:tc>
          <w:tcPr>
            <w:tcW w:w="567" w:type="dxa"/>
            <w:vAlign w:val="center"/>
          </w:tcPr>
          <w:p w14:paraId="5EEDF4F6" w14:textId="77777777" w:rsidR="00007514" w:rsidRPr="00007514" w:rsidRDefault="00007514" w:rsidP="00007514">
            <w:pPr>
              <w:spacing w:before="40" w:after="40" w:line="240" w:lineRule="auto"/>
              <w:ind w:left="33"/>
              <w:jc w:val="center"/>
              <w:rPr>
                <w:rFonts w:ascii="Times New Roman" w:eastAsia="Calibri" w:hAnsi="Times New Roman" w:cs="Arial"/>
                <w:color w:val="000000"/>
                <w:sz w:val="24"/>
                <w:szCs w:val="24"/>
                <w:lang w:eastAsia="ru-RU"/>
              </w:rPr>
            </w:pPr>
          </w:p>
        </w:tc>
        <w:tc>
          <w:tcPr>
            <w:tcW w:w="567" w:type="dxa"/>
            <w:vAlign w:val="center"/>
          </w:tcPr>
          <w:p w14:paraId="69DB6432" w14:textId="77777777" w:rsidR="00007514" w:rsidRPr="00007514" w:rsidRDefault="00007514" w:rsidP="00007514">
            <w:pPr>
              <w:spacing w:before="40" w:after="40" w:line="240" w:lineRule="auto"/>
              <w:ind w:left="33"/>
              <w:jc w:val="center"/>
              <w:rPr>
                <w:rFonts w:ascii="Times New Roman" w:eastAsia="Calibri" w:hAnsi="Times New Roman" w:cs="Arial"/>
                <w:color w:val="000000"/>
                <w:sz w:val="24"/>
                <w:szCs w:val="24"/>
                <w:lang w:eastAsia="ru-RU"/>
              </w:rPr>
            </w:pPr>
          </w:p>
        </w:tc>
      </w:tr>
    </w:tbl>
    <w:p w14:paraId="2BF1ED5E"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
          <w:bCs/>
          <w:color w:val="000000"/>
          <w:sz w:val="28"/>
          <w:szCs w:val="28"/>
          <w:lang w:val="en-US"/>
        </w:rPr>
      </w:pPr>
    </w:p>
    <w:p w14:paraId="0FFA3BEB" w14:textId="2F028C85" w:rsidR="00E4286C" w:rsidRPr="000B583A" w:rsidRDefault="00007514" w:rsidP="00E4286C">
      <w:pPr>
        <w:pStyle w:val="a7"/>
        <w:numPr>
          <w:ilvl w:val="1"/>
          <w:numId w:val="18"/>
        </w:numPr>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w:t>
      </w:r>
      <w:r w:rsidR="00E4286C" w:rsidRPr="000B583A">
        <w:rPr>
          <w:rFonts w:eastAsia="Calibri" w:cs="Times New Roman"/>
          <w:bCs/>
          <w:color w:val="000000"/>
          <w:lang w:val="ru-RU"/>
        </w:rPr>
        <w:t xml:space="preserve"> 1.5</w:t>
      </w:r>
    </w:p>
    <w:p w14:paraId="7B2C03F7" w14:textId="0DD9555B" w:rsidR="00007514" w:rsidRPr="00B07AF8" w:rsidRDefault="00007514" w:rsidP="00E4286C">
      <w:pPr>
        <w:pStyle w:val="a7"/>
        <w:snapToGrid w:val="0"/>
        <w:ind w:left="0" w:firstLine="709"/>
        <w:contextualSpacing w:val="0"/>
        <w:rPr>
          <w:rFonts w:eastAsia="Calibri" w:cs="Times New Roman"/>
          <w:bCs/>
          <w:color w:val="000000"/>
          <w:lang w:val="ru-RU"/>
        </w:rPr>
      </w:pPr>
      <w:r w:rsidRPr="00B07AF8">
        <w:rPr>
          <w:rFonts w:eastAsia="Calibri" w:cs="Times New Roman"/>
          <w:bCs/>
          <w:color w:val="000000"/>
          <w:lang w:val="ru-RU"/>
        </w:rPr>
        <w:t>Предлагается</w:t>
      </w:r>
      <w:r w:rsidR="00EA4444" w:rsidRPr="00B07AF8">
        <w:rPr>
          <w:rFonts w:eastAsia="Calibri" w:cs="Times New Roman"/>
          <w:bCs/>
          <w:color w:val="000000"/>
          <w:lang w:val="ru-RU"/>
        </w:rPr>
        <w:t>: а)</w:t>
      </w:r>
      <w:r w:rsidRPr="00B07AF8">
        <w:rPr>
          <w:rFonts w:eastAsia="Calibri" w:cs="Times New Roman"/>
          <w:bCs/>
          <w:color w:val="000000"/>
          <w:lang w:val="ru-RU"/>
        </w:rPr>
        <w:t xml:space="preserve"> </w:t>
      </w:r>
      <w:r w:rsidR="003700B0" w:rsidRPr="00B07AF8">
        <w:rPr>
          <w:rFonts w:eastAsia="Calibri" w:cs="Times New Roman"/>
          <w:bCs/>
          <w:color w:val="000000"/>
          <w:lang w:val="ru-RU"/>
        </w:rPr>
        <w:t>уточнить наименование показателя</w:t>
      </w:r>
      <w:r w:rsidR="007A0A2E" w:rsidRPr="00B07AF8">
        <w:rPr>
          <w:rFonts w:eastAsia="Calibri" w:cs="Times New Roman"/>
          <w:bCs/>
          <w:color w:val="000000"/>
          <w:lang w:val="ru-RU"/>
        </w:rPr>
        <w:t xml:space="preserve">; </w:t>
      </w:r>
      <w:r w:rsidR="00EA4444" w:rsidRPr="00B07AF8">
        <w:rPr>
          <w:rFonts w:eastAsia="Calibri" w:cs="Times New Roman"/>
          <w:bCs/>
          <w:color w:val="000000"/>
          <w:lang w:val="ru-RU"/>
        </w:rPr>
        <w:t xml:space="preserve">б) </w:t>
      </w:r>
      <w:r w:rsidRPr="00B07AF8">
        <w:rPr>
          <w:rFonts w:eastAsia="Calibri" w:cs="Times New Roman"/>
          <w:bCs/>
          <w:color w:val="000000"/>
          <w:lang w:val="ru-RU"/>
        </w:rPr>
        <w:t>предусмотреть дополнительные случаи применения понижающих коэффициентов к оценке показателя</w:t>
      </w:r>
      <w:r w:rsidR="00EA4444" w:rsidRPr="00B07AF8">
        <w:rPr>
          <w:rFonts w:eastAsia="Calibri" w:cs="Times New Roman"/>
          <w:bCs/>
          <w:color w:val="000000"/>
          <w:lang w:val="ru-RU"/>
        </w:rPr>
        <w:t>;</w:t>
      </w:r>
      <w:r w:rsidR="007A0A2E" w:rsidRPr="00B07AF8">
        <w:rPr>
          <w:rFonts w:eastAsia="Calibri" w:cs="Times New Roman"/>
          <w:bCs/>
          <w:color w:val="000000"/>
          <w:lang w:val="ru-RU"/>
        </w:rPr>
        <w:t xml:space="preserve"> </w:t>
      </w:r>
      <w:r w:rsidR="00EA4444" w:rsidRPr="00B07AF8">
        <w:rPr>
          <w:rFonts w:eastAsia="Calibri" w:cs="Times New Roman"/>
          <w:bCs/>
          <w:color w:val="000000"/>
          <w:lang w:val="ru-RU"/>
        </w:rPr>
        <w:t>в) предусмотреть</w:t>
      </w:r>
      <w:r w:rsidRPr="00B07AF8">
        <w:rPr>
          <w:rFonts w:eastAsia="Calibri" w:cs="Times New Roman"/>
          <w:bCs/>
          <w:color w:val="000000"/>
          <w:lang w:val="ru-RU"/>
        </w:rPr>
        <w:t xml:space="preserve"> дополнительную возможность расчета общего объема субсидий местным бюджетам</w:t>
      </w:r>
      <w:r w:rsidR="00EA4444" w:rsidRPr="00B07AF8">
        <w:rPr>
          <w:rFonts w:eastAsia="Calibri" w:cs="Times New Roman"/>
          <w:bCs/>
          <w:color w:val="000000"/>
          <w:lang w:val="ru-RU"/>
        </w:rPr>
        <w:t>;</w:t>
      </w:r>
      <w:r w:rsidRPr="00B07AF8">
        <w:rPr>
          <w:rFonts w:eastAsia="Calibri" w:cs="Times New Roman"/>
          <w:bCs/>
          <w:color w:val="000000"/>
          <w:lang w:val="ru-RU"/>
        </w:rPr>
        <w:t xml:space="preserve"> </w:t>
      </w:r>
      <w:r w:rsidR="00EA4444" w:rsidRPr="00B07AF8">
        <w:rPr>
          <w:rFonts w:eastAsia="Calibri" w:cs="Times New Roman"/>
          <w:bCs/>
          <w:color w:val="000000"/>
          <w:lang w:val="ru-RU"/>
        </w:rPr>
        <w:t xml:space="preserve">г) внести </w:t>
      </w:r>
      <w:r w:rsidRPr="00B07AF8">
        <w:rPr>
          <w:rFonts w:eastAsia="Calibri" w:cs="Times New Roman"/>
          <w:bCs/>
          <w:color w:val="000000"/>
          <w:lang w:val="ru-RU"/>
        </w:rPr>
        <w:t xml:space="preserve">изменения редакционного характера </w:t>
      </w:r>
      <w:r w:rsidR="00EA4444" w:rsidRPr="00B07AF8">
        <w:rPr>
          <w:rFonts w:eastAsia="Calibri" w:cs="Times New Roman"/>
          <w:bCs/>
          <w:color w:val="000000"/>
          <w:lang w:val="ru-RU"/>
        </w:rPr>
        <w:t xml:space="preserve">в </w:t>
      </w:r>
      <w:r w:rsidRPr="00B07AF8">
        <w:rPr>
          <w:rFonts w:eastAsia="Calibri" w:cs="Times New Roman"/>
          <w:bCs/>
          <w:color w:val="000000"/>
          <w:lang w:val="ru-RU"/>
        </w:rPr>
        <w:t>шкал</w:t>
      </w:r>
      <w:r w:rsidR="00EA4444" w:rsidRPr="00B07AF8">
        <w:rPr>
          <w:rFonts w:eastAsia="Calibri" w:cs="Times New Roman"/>
          <w:bCs/>
          <w:color w:val="000000"/>
          <w:lang w:val="ru-RU"/>
        </w:rPr>
        <w:t>у</w:t>
      </w:r>
      <w:r w:rsidRPr="00B07AF8">
        <w:rPr>
          <w:rFonts w:eastAsia="Calibri" w:cs="Times New Roman"/>
          <w:bCs/>
          <w:color w:val="000000"/>
          <w:lang w:val="ru-RU"/>
        </w:rPr>
        <w:t xml:space="preserve"> </w:t>
      </w:r>
      <w:r w:rsidR="007A0A2E" w:rsidRPr="00B07AF8">
        <w:rPr>
          <w:rFonts w:eastAsia="Calibri" w:cs="Times New Roman"/>
          <w:bCs/>
          <w:color w:val="000000"/>
          <w:lang w:val="ru-RU"/>
        </w:rPr>
        <w:t xml:space="preserve">для </w:t>
      </w:r>
      <w:r w:rsidRPr="00B07AF8">
        <w:rPr>
          <w:rFonts w:eastAsia="Calibri" w:cs="Times New Roman"/>
          <w:bCs/>
          <w:color w:val="000000"/>
          <w:lang w:val="ru-RU"/>
        </w:rPr>
        <w:t>оценки показателя.</w:t>
      </w:r>
    </w:p>
    <w:p w14:paraId="62A10C3F" w14:textId="210C0B90"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Предложение сформулировано с учетом реально</w:t>
      </w:r>
      <w:r w:rsidR="00BC178C">
        <w:rPr>
          <w:rFonts w:ascii="Times New Roman" w:eastAsia="Calibri" w:hAnsi="Times New Roman" w:cs="Times New Roman"/>
          <w:bCs/>
          <w:color w:val="000000"/>
          <w:sz w:val="28"/>
          <w:szCs w:val="28"/>
        </w:rPr>
        <w:t>й практики</w:t>
      </w:r>
      <w:r w:rsidRPr="00007514">
        <w:rPr>
          <w:rFonts w:ascii="Times New Roman" w:eastAsia="Calibri" w:hAnsi="Times New Roman" w:cs="Times New Roman"/>
          <w:bCs/>
          <w:color w:val="000000"/>
          <w:sz w:val="28"/>
          <w:szCs w:val="28"/>
        </w:rPr>
        <w:t xml:space="preserve"> представления данных о субсидиях местным бюджетам в законах о бюджетах субъектов Российской Федерации и направлено на </w:t>
      </w:r>
      <w:r w:rsidR="00BC178C">
        <w:rPr>
          <w:rFonts w:ascii="Times New Roman" w:eastAsia="Calibri" w:hAnsi="Times New Roman" w:cs="Times New Roman"/>
          <w:bCs/>
          <w:color w:val="000000"/>
          <w:sz w:val="28"/>
          <w:szCs w:val="28"/>
        </w:rPr>
        <w:t xml:space="preserve">ее </w:t>
      </w:r>
      <w:r w:rsidRPr="00007514">
        <w:rPr>
          <w:rFonts w:ascii="Times New Roman" w:eastAsia="Calibri" w:hAnsi="Times New Roman" w:cs="Times New Roman"/>
          <w:bCs/>
          <w:color w:val="000000"/>
          <w:sz w:val="28"/>
          <w:szCs w:val="28"/>
        </w:rPr>
        <w:t>совершенствование.</w:t>
      </w:r>
      <w:r w:rsidR="00EA4444" w:rsidRPr="00EA4444">
        <w:rPr>
          <w:rFonts w:ascii="Times New Roman" w:eastAsia="Calibri" w:hAnsi="Times New Roman" w:cs="Times New Roman"/>
          <w:bCs/>
          <w:color w:val="000000"/>
          <w:sz w:val="28"/>
          <w:szCs w:val="28"/>
        </w:rPr>
        <w:t xml:space="preserve"> </w:t>
      </w:r>
      <w:r w:rsidR="007A0A2E">
        <w:rPr>
          <w:rFonts w:ascii="Times New Roman" w:eastAsia="Calibri" w:hAnsi="Times New Roman" w:cs="Times New Roman"/>
          <w:bCs/>
          <w:color w:val="000000"/>
          <w:sz w:val="28"/>
          <w:szCs w:val="28"/>
        </w:rPr>
        <w:t xml:space="preserve">Наименование показателя уточняется, так как оценивается не только распределение субсидий по местным бюджетам, но и представление информации об этом. </w:t>
      </w:r>
    </w:p>
    <w:p w14:paraId="575FADEB" w14:textId="77777777" w:rsidR="00007514" w:rsidRPr="00007514" w:rsidRDefault="00007514" w:rsidP="00007514">
      <w:pPr>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Предлагаемая редакция показателя 1.5 (изменения выделены синим цветом):</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007514" w:rsidRPr="00007514" w14:paraId="321EFE38" w14:textId="77777777" w:rsidTr="00A1680F">
        <w:trPr>
          <w:trHeight w:val="20"/>
        </w:trPr>
        <w:tc>
          <w:tcPr>
            <w:tcW w:w="709" w:type="dxa"/>
            <w:vMerge w:val="restart"/>
            <w:vAlign w:val="center"/>
          </w:tcPr>
          <w:p w14:paraId="0C9FF2D5"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 п/п</w:t>
            </w:r>
          </w:p>
        </w:tc>
        <w:tc>
          <w:tcPr>
            <w:tcW w:w="7088" w:type="dxa"/>
            <w:vMerge w:val="restart"/>
            <w:vAlign w:val="center"/>
          </w:tcPr>
          <w:p w14:paraId="6F337C6A"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Вопросы и варианты ответов</w:t>
            </w:r>
          </w:p>
        </w:tc>
        <w:tc>
          <w:tcPr>
            <w:tcW w:w="567" w:type="dxa"/>
            <w:vMerge w:val="restart"/>
            <w:textDirection w:val="btLr"/>
            <w:vAlign w:val="center"/>
          </w:tcPr>
          <w:p w14:paraId="2538E0B3" w14:textId="77777777" w:rsidR="00007514" w:rsidRPr="00007514" w:rsidRDefault="00007514" w:rsidP="00007514">
            <w:pPr>
              <w:keepNext/>
              <w:spacing w:before="40" w:after="40" w:line="240" w:lineRule="auto"/>
              <w:ind w:left="113" w:right="113"/>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Баллы</w:t>
            </w:r>
          </w:p>
        </w:tc>
        <w:tc>
          <w:tcPr>
            <w:tcW w:w="1135" w:type="dxa"/>
            <w:gridSpan w:val="2"/>
            <w:tcBorders>
              <w:bottom w:val="single" w:sz="4" w:space="0" w:color="A6A6A6"/>
            </w:tcBorders>
            <w:vAlign w:val="center"/>
          </w:tcPr>
          <w:p w14:paraId="121105FA"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Понижающие коэффициенты</w:t>
            </w:r>
          </w:p>
        </w:tc>
      </w:tr>
      <w:tr w:rsidR="00007514" w:rsidRPr="00007514" w14:paraId="1BAC98B2" w14:textId="77777777" w:rsidTr="00A1680F">
        <w:trPr>
          <w:trHeight w:val="20"/>
        </w:trPr>
        <w:tc>
          <w:tcPr>
            <w:tcW w:w="709" w:type="dxa"/>
            <w:vMerge/>
            <w:tcBorders>
              <w:bottom w:val="single" w:sz="4" w:space="0" w:color="A6A6A6"/>
            </w:tcBorders>
            <w:vAlign w:val="center"/>
          </w:tcPr>
          <w:p w14:paraId="6A0B7F3C" w14:textId="77777777" w:rsidR="00007514" w:rsidRPr="00007514" w:rsidRDefault="00007514" w:rsidP="00007514">
            <w:pPr>
              <w:keepNext/>
              <w:spacing w:before="40" w:after="40" w:line="240" w:lineRule="auto"/>
              <w:ind w:firstLine="720"/>
              <w:jc w:val="center"/>
              <w:rPr>
                <w:rFonts w:ascii="Times New Roman" w:eastAsia="Times New Roman" w:hAnsi="Times New Roman" w:cs="Times New Roman"/>
                <w:color w:val="000000"/>
                <w:sz w:val="24"/>
                <w:szCs w:val="24"/>
                <w:lang w:eastAsia="ru-RU"/>
              </w:rPr>
            </w:pPr>
          </w:p>
        </w:tc>
        <w:tc>
          <w:tcPr>
            <w:tcW w:w="7088" w:type="dxa"/>
            <w:vMerge/>
            <w:tcBorders>
              <w:bottom w:val="single" w:sz="4" w:space="0" w:color="A6A6A6"/>
            </w:tcBorders>
            <w:vAlign w:val="center"/>
          </w:tcPr>
          <w:p w14:paraId="561D1948" w14:textId="77777777" w:rsidR="00007514" w:rsidRPr="00007514" w:rsidRDefault="00007514" w:rsidP="00007514">
            <w:pPr>
              <w:keepNext/>
              <w:spacing w:before="40" w:after="40" w:line="240" w:lineRule="auto"/>
              <w:ind w:firstLine="720"/>
              <w:jc w:val="both"/>
              <w:rPr>
                <w:rFonts w:ascii="Times New Roman" w:eastAsia="Times New Roman" w:hAnsi="Times New Roman" w:cs="Times New Roman"/>
                <w:caps/>
                <w:color w:val="000000"/>
                <w:sz w:val="24"/>
                <w:szCs w:val="24"/>
                <w:lang w:eastAsia="ru-RU"/>
              </w:rPr>
            </w:pPr>
          </w:p>
        </w:tc>
        <w:tc>
          <w:tcPr>
            <w:tcW w:w="567" w:type="dxa"/>
            <w:vMerge/>
            <w:tcBorders>
              <w:bottom w:val="single" w:sz="4" w:space="0" w:color="A6A6A6"/>
            </w:tcBorders>
            <w:vAlign w:val="center"/>
          </w:tcPr>
          <w:p w14:paraId="355FBBFE"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p>
        </w:tc>
        <w:tc>
          <w:tcPr>
            <w:tcW w:w="567" w:type="dxa"/>
            <w:tcBorders>
              <w:bottom w:val="single" w:sz="4" w:space="0" w:color="A6A6A6"/>
            </w:tcBorders>
            <w:vAlign w:val="center"/>
          </w:tcPr>
          <w:p w14:paraId="34BBDB23"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К1</w:t>
            </w:r>
          </w:p>
        </w:tc>
        <w:tc>
          <w:tcPr>
            <w:tcW w:w="568" w:type="dxa"/>
            <w:tcBorders>
              <w:bottom w:val="single" w:sz="4" w:space="0" w:color="A6A6A6"/>
            </w:tcBorders>
            <w:vAlign w:val="center"/>
          </w:tcPr>
          <w:p w14:paraId="25D29BB8"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К2</w:t>
            </w:r>
          </w:p>
        </w:tc>
      </w:tr>
      <w:tr w:rsidR="00007514" w:rsidRPr="00007514" w14:paraId="5722E97A" w14:textId="77777777" w:rsidTr="00A1680F">
        <w:trPr>
          <w:trHeight w:val="20"/>
        </w:trPr>
        <w:tc>
          <w:tcPr>
            <w:tcW w:w="709" w:type="dxa"/>
          </w:tcPr>
          <w:p w14:paraId="476A96A4"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1.5</w:t>
            </w:r>
          </w:p>
        </w:tc>
        <w:tc>
          <w:tcPr>
            <w:tcW w:w="7088" w:type="dxa"/>
            <w:vAlign w:val="center"/>
          </w:tcPr>
          <w:p w14:paraId="5F21F156" w14:textId="38AB62D9" w:rsidR="00007514" w:rsidRPr="00007514" w:rsidRDefault="00007514" w:rsidP="00007514">
            <w:pPr>
              <w:spacing w:before="40" w:after="40" w:line="240" w:lineRule="auto"/>
              <w:jc w:val="both"/>
              <w:rPr>
                <w:rFonts w:ascii="Times New Roman" w:eastAsia="Calibri" w:hAnsi="Times New Roman" w:cs="Arial"/>
                <w:b/>
                <w:color w:val="000000"/>
                <w:sz w:val="24"/>
                <w:szCs w:val="24"/>
                <w:lang w:eastAsia="ru-RU"/>
              </w:rPr>
            </w:pPr>
            <w:r w:rsidRPr="00007514">
              <w:rPr>
                <w:rFonts w:ascii="Times New Roman" w:eastAsia="Calibri" w:hAnsi="Times New Roman" w:cs="Arial"/>
                <w:b/>
                <w:color w:val="000000"/>
                <w:sz w:val="24"/>
                <w:szCs w:val="24"/>
                <w:lang w:eastAsia="ru-RU"/>
              </w:rPr>
              <w:t>Какая доля субсидий местным бюджетам на 2022 год распределена законом о бюджете по муниципальным образованиям (в % от общего объема субсидий, предусмотренных местным бюджетам законом о бюджете на 2022 год)</w:t>
            </w:r>
            <w:r w:rsidR="003700B0">
              <w:rPr>
                <w:rFonts w:ascii="Times New Roman" w:eastAsia="Calibri" w:hAnsi="Times New Roman" w:cs="Arial"/>
                <w:b/>
                <w:color w:val="000000"/>
                <w:sz w:val="24"/>
                <w:szCs w:val="24"/>
                <w:lang w:eastAsia="ru-RU"/>
              </w:rPr>
              <w:t xml:space="preserve"> </w:t>
            </w:r>
            <w:r w:rsidR="003700B0" w:rsidRPr="0089296E">
              <w:rPr>
                <w:rFonts w:ascii="Times New Roman" w:eastAsia="Calibri" w:hAnsi="Times New Roman" w:cs="Arial"/>
                <w:b/>
                <w:color w:val="2E74B5" w:themeColor="accent1" w:themeShade="BF"/>
                <w:sz w:val="24"/>
                <w:szCs w:val="24"/>
                <w:lang w:eastAsia="ru-RU"/>
              </w:rPr>
              <w:t>и сведения о таком распределении</w:t>
            </w:r>
            <w:r w:rsidR="007A0A2E" w:rsidRPr="0089296E">
              <w:rPr>
                <w:rFonts w:ascii="Times New Roman" w:eastAsia="Calibri" w:hAnsi="Times New Roman" w:cs="Arial"/>
                <w:b/>
                <w:color w:val="2E74B5" w:themeColor="accent1" w:themeShade="BF"/>
                <w:sz w:val="24"/>
                <w:szCs w:val="24"/>
                <w:lang w:eastAsia="ru-RU"/>
              </w:rPr>
              <w:t xml:space="preserve"> представлены в соответствующих приложениях к закону о бюджете</w:t>
            </w:r>
            <w:r w:rsidRPr="00007514">
              <w:rPr>
                <w:rFonts w:ascii="Times New Roman" w:eastAsia="Calibri" w:hAnsi="Times New Roman" w:cs="Arial"/>
                <w:b/>
                <w:color w:val="000000"/>
                <w:sz w:val="24"/>
                <w:szCs w:val="24"/>
                <w:lang w:eastAsia="ru-RU"/>
              </w:rPr>
              <w:t>?</w:t>
            </w:r>
          </w:p>
          <w:p w14:paraId="34344F54" w14:textId="77777777" w:rsidR="00007514" w:rsidRPr="00007514" w:rsidRDefault="00007514" w:rsidP="00007514">
            <w:pPr>
              <w:spacing w:before="40" w:after="40" w:line="240" w:lineRule="auto"/>
              <w:jc w:val="both"/>
              <w:rPr>
                <w:rFonts w:ascii="Times New Roman" w:eastAsia="Calibri" w:hAnsi="Times New Roman" w:cs="Arial"/>
                <w:color w:val="000000"/>
                <w:sz w:val="24"/>
                <w:szCs w:val="24"/>
              </w:rPr>
            </w:pPr>
            <w:r w:rsidRPr="00007514">
              <w:rPr>
                <w:rFonts w:ascii="Times New Roman" w:eastAsia="Calibri" w:hAnsi="Times New Roman" w:cs="Arial"/>
                <w:iCs/>
                <w:color w:val="000000"/>
                <w:sz w:val="24"/>
                <w:szCs w:val="24"/>
                <w:lang w:eastAsia="ru-RU"/>
              </w:rPr>
              <w:t>В целях оценки показателя учитываются субсидии, распределение которых по муниципальным образованиям утверждено законом о бюджете отдельными приложениями (приложением). Сводные данные о распределении субсидий по муниципальным образованиям без детализации по их конкретным видам (в том числе консолидированные субсидии) в целях оценки показателя не учитываются.</w:t>
            </w:r>
            <w:r w:rsidRPr="00007514">
              <w:rPr>
                <w:rFonts w:ascii="Times New Roman" w:eastAsia="Calibri" w:hAnsi="Times New Roman" w:cs="Arial"/>
                <w:color w:val="000000"/>
                <w:sz w:val="24"/>
                <w:szCs w:val="24"/>
              </w:rPr>
              <w:t xml:space="preserve"> Сведения о распределении субсидий по отдельным муниципальным образованиям, содержащиеся в текстовой части закона, ведомственной, программной или функциональной структуре расходов, а также в распределении ассигнований на </w:t>
            </w:r>
            <w:r w:rsidRPr="00007514">
              <w:rPr>
                <w:rFonts w:ascii="Times New Roman" w:eastAsia="Calibri" w:hAnsi="Times New Roman" w:cs="Arial"/>
                <w:color w:val="000000"/>
                <w:sz w:val="24"/>
                <w:szCs w:val="24"/>
              </w:rPr>
              <w:lastRenderedPageBreak/>
              <w:t xml:space="preserve">бюджетные инвестиции, в целях оценки показателя не учитываются. </w:t>
            </w:r>
          </w:p>
          <w:p w14:paraId="55D4103F" w14:textId="463FC539" w:rsidR="00007514" w:rsidRPr="00007514" w:rsidRDefault="00007514" w:rsidP="00007514">
            <w:pPr>
              <w:spacing w:before="40" w:after="40" w:line="240" w:lineRule="auto"/>
              <w:jc w:val="both"/>
              <w:rPr>
                <w:rFonts w:ascii="Times New Roman" w:eastAsia="Calibri" w:hAnsi="Times New Roman" w:cs="Arial"/>
                <w:iCs/>
                <w:color w:val="0070C0"/>
                <w:sz w:val="24"/>
                <w:szCs w:val="24"/>
                <w:lang w:eastAsia="ru-RU"/>
              </w:rPr>
            </w:pPr>
            <w:r w:rsidRPr="00007514">
              <w:rPr>
                <w:rFonts w:ascii="Times New Roman" w:eastAsia="Calibri" w:hAnsi="Times New Roman" w:cs="Arial"/>
                <w:iCs/>
                <w:color w:val="0070C0"/>
                <w:sz w:val="24"/>
                <w:szCs w:val="24"/>
                <w:lang w:eastAsia="ru-RU"/>
              </w:rPr>
              <w:t xml:space="preserve">Если </w:t>
            </w:r>
            <w:r w:rsidR="00C85718">
              <w:rPr>
                <w:rFonts w:ascii="Times New Roman" w:eastAsia="Calibri" w:hAnsi="Times New Roman" w:cs="Arial"/>
                <w:iCs/>
                <w:color w:val="0070C0"/>
                <w:sz w:val="24"/>
                <w:szCs w:val="24"/>
                <w:lang w:eastAsia="ru-RU"/>
              </w:rPr>
              <w:t>сведения</w:t>
            </w:r>
            <w:r w:rsidR="00C85718" w:rsidRPr="00007514">
              <w:rPr>
                <w:rFonts w:ascii="Times New Roman" w:eastAsia="Calibri" w:hAnsi="Times New Roman" w:cs="Arial"/>
                <w:iCs/>
                <w:color w:val="0070C0"/>
                <w:sz w:val="24"/>
                <w:szCs w:val="24"/>
                <w:lang w:eastAsia="ru-RU"/>
              </w:rPr>
              <w:t xml:space="preserve"> </w:t>
            </w:r>
            <w:r w:rsidRPr="00007514">
              <w:rPr>
                <w:rFonts w:ascii="Times New Roman" w:eastAsia="Calibri" w:hAnsi="Times New Roman" w:cs="Arial"/>
                <w:iCs/>
                <w:color w:val="0070C0"/>
                <w:sz w:val="24"/>
                <w:szCs w:val="24"/>
                <w:lang w:eastAsia="ru-RU"/>
              </w:rPr>
              <w:t xml:space="preserve">о распределении субсидии по муниципальным образованиям не содержат информации об общем объеме субсидии, предусмотренной законом о бюджете, а также </w:t>
            </w:r>
            <w:r w:rsidR="00C85718">
              <w:rPr>
                <w:rFonts w:ascii="Times New Roman" w:eastAsia="Calibri" w:hAnsi="Times New Roman" w:cs="Arial"/>
                <w:iCs/>
                <w:color w:val="0070C0"/>
                <w:sz w:val="24"/>
                <w:szCs w:val="24"/>
                <w:lang w:eastAsia="ru-RU"/>
              </w:rPr>
              <w:t>информации</w:t>
            </w:r>
            <w:r w:rsidR="00C85718" w:rsidRPr="00007514">
              <w:rPr>
                <w:rFonts w:ascii="Times New Roman" w:eastAsia="Calibri" w:hAnsi="Times New Roman" w:cs="Arial"/>
                <w:iCs/>
                <w:color w:val="0070C0"/>
                <w:sz w:val="24"/>
                <w:szCs w:val="24"/>
                <w:lang w:eastAsia="ru-RU"/>
              </w:rPr>
              <w:t xml:space="preserve"> </w:t>
            </w:r>
            <w:r w:rsidRPr="00007514">
              <w:rPr>
                <w:rFonts w:ascii="Times New Roman" w:eastAsia="Calibri" w:hAnsi="Times New Roman" w:cs="Arial"/>
                <w:iCs/>
                <w:color w:val="0070C0"/>
                <w:sz w:val="24"/>
                <w:szCs w:val="24"/>
                <w:lang w:eastAsia="ru-RU"/>
              </w:rPr>
              <w:t>об объеме нераспределенной части субсидии (если часть соответствующей субсидии не распределена), применяется понижающий коэффициент, используемый в связи с затрудненным поиском бюджетных данных.</w:t>
            </w:r>
          </w:p>
          <w:p w14:paraId="43802CB5" w14:textId="77777777" w:rsidR="00007514" w:rsidRPr="00007514" w:rsidRDefault="00007514" w:rsidP="00007514">
            <w:pPr>
              <w:spacing w:before="40" w:after="40" w:line="240" w:lineRule="auto"/>
              <w:jc w:val="both"/>
              <w:rPr>
                <w:rFonts w:ascii="Times New Roman" w:eastAsia="Calibri" w:hAnsi="Times New Roman" w:cs="Arial"/>
                <w:iCs/>
                <w:color w:val="0070C0"/>
                <w:sz w:val="24"/>
                <w:szCs w:val="24"/>
                <w:lang w:eastAsia="ru-RU"/>
              </w:rPr>
            </w:pPr>
            <w:r w:rsidRPr="00007514">
              <w:rPr>
                <w:rFonts w:ascii="Times New Roman" w:eastAsia="Calibri" w:hAnsi="Times New Roman" w:cs="Arial"/>
                <w:iCs/>
                <w:color w:val="0070C0"/>
                <w:sz w:val="24"/>
                <w:szCs w:val="24"/>
                <w:lang w:eastAsia="ru-RU"/>
              </w:rPr>
              <w:t>Если сведения о наименовании межбюджетного трансферта, распределенного по муниципальным образованиям, не указывают однозначно на форму межбюджетного трансферта, такие межбюджетные трансферты не учитываются в целях оценки показателя.</w:t>
            </w:r>
          </w:p>
          <w:p w14:paraId="27400435" w14:textId="77777777" w:rsidR="00007514" w:rsidRPr="00007514" w:rsidRDefault="00007514" w:rsidP="00007514">
            <w:pPr>
              <w:spacing w:before="40" w:after="40" w:line="240" w:lineRule="auto"/>
              <w:jc w:val="both"/>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 xml:space="preserve">В целях оценки показателя для определения общего объема субсидий, предусмотренных местным бюджетам на 2022 год, используются сведения об общем объеме субсидий местным бюджетам на 2022 год, непосредственно содержащиеся в текстовой части закона о бюджете и (или) приложении к нему, </w:t>
            </w:r>
            <w:r w:rsidRPr="00007514">
              <w:rPr>
                <w:rFonts w:ascii="Times New Roman" w:eastAsia="Calibri" w:hAnsi="Times New Roman" w:cs="Arial"/>
                <w:iCs/>
                <w:color w:val="0070C0"/>
                <w:sz w:val="24"/>
                <w:szCs w:val="24"/>
                <w:lang w:eastAsia="ru-RU"/>
              </w:rPr>
              <w:t>или осуществляется расчет путем суммирования отдельных субсидий, представленных в перечне субсидий, предусмотренных местным бюджетам</w:t>
            </w:r>
            <w:r w:rsidRPr="00007514">
              <w:rPr>
                <w:rFonts w:ascii="Times New Roman" w:eastAsia="Calibri" w:hAnsi="Times New Roman" w:cs="Arial"/>
                <w:iCs/>
                <w:color w:val="000000"/>
                <w:sz w:val="24"/>
                <w:szCs w:val="24"/>
                <w:lang w:eastAsia="ru-RU"/>
              </w:rPr>
              <w:t xml:space="preserve">, или осуществляется расчет по ведомственной структуре расходов с использованием видов расходов 520 или 521, 522 и 523 (если такая детализация имеется). В случае осуществления расчета для определения общего объема субсидий </w:t>
            </w:r>
            <w:r w:rsidRPr="00007514">
              <w:rPr>
                <w:rFonts w:ascii="Times New Roman" w:eastAsia="Calibri" w:hAnsi="Times New Roman" w:cs="Arial"/>
                <w:iCs/>
                <w:color w:val="0070C0"/>
                <w:sz w:val="24"/>
                <w:szCs w:val="24"/>
                <w:lang w:eastAsia="ru-RU"/>
              </w:rPr>
              <w:t>любым из указанных способов</w:t>
            </w:r>
            <w:r w:rsidRPr="00007514">
              <w:rPr>
                <w:rFonts w:ascii="Times New Roman" w:eastAsia="Calibri" w:hAnsi="Times New Roman" w:cs="Arial"/>
                <w:iCs/>
                <w:color w:val="000000"/>
                <w:sz w:val="24"/>
                <w:szCs w:val="24"/>
                <w:lang w:eastAsia="ru-RU"/>
              </w:rPr>
              <w:t xml:space="preserve"> применяется понижающий коэффициент, используемый в связи с затрудненным поиском бюджетных данных. В случае если определить общий объем субсидий местным бюджетам на 2022 год указанными способами не представляется возможным, оценка показателя принимает значение ноль баллов. </w:t>
            </w:r>
          </w:p>
          <w:p w14:paraId="5DEE20AC" w14:textId="77777777" w:rsidR="00007514" w:rsidRPr="00007514" w:rsidRDefault="00007514" w:rsidP="00007514">
            <w:pPr>
              <w:spacing w:before="40" w:after="40" w:line="240" w:lineRule="auto"/>
              <w:jc w:val="both"/>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 xml:space="preserve">В случае если законом о бюджете субъекта Российской Федерации (за исключением городов федерального значения) субсидии местным бюджетам на 2022 год не предусмотрены, </w:t>
            </w:r>
            <w:r w:rsidRPr="00007514">
              <w:rPr>
                <w:rFonts w:ascii="Times New Roman" w:eastAsia="Calibri" w:hAnsi="Times New Roman" w:cs="Arial"/>
                <w:color w:val="000000"/>
                <w:sz w:val="24"/>
                <w:szCs w:val="24"/>
                <w:lang w:eastAsia="ru-RU"/>
              </w:rPr>
              <w:t xml:space="preserve">для соответствующего субъекта </w:t>
            </w:r>
            <w:r w:rsidRPr="00007514">
              <w:rPr>
                <w:rFonts w:ascii="Times New Roman" w:eastAsia="Calibri" w:hAnsi="Times New Roman" w:cs="Arial"/>
                <w:iCs/>
                <w:color w:val="000000"/>
                <w:sz w:val="24"/>
                <w:szCs w:val="24"/>
                <w:lang w:eastAsia="ru-RU"/>
              </w:rPr>
              <w:t>Российской Федерации оценка показателя принимает значение 0 баллов. Для городов федерального значения оценка показателя не осуществляется, производится корректировка максимального количества баллов.</w:t>
            </w:r>
          </w:p>
        </w:tc>
        <w:tc>
          <w:tcPr>
            <w:tcW w:w="567" w:type="dxa"/>
          </w:tcPr>
          <w:p w14:paraId="136841E6"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c>
          <w:tcPr>
            <w:tcW w:w="567" w:type="dxa"/>
          </w:tcPr>
          <w:p w14:paraId="21B4DF1C"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c>
          <w:tcPr>
            <w:tcW w:w="567" w:type="dxa"/>
          </w:tcPr>
          <w:p w14:paraId="32E004BF"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r>
      <w:tr w:rsidR="00007514" w:rsidRPr="00007514" w14:paraId="7F61DB21" w14:textId="77777777" w:rsidTr="00A1680F">
        <w:trPr>
          <w:trHeight w:val="20"/>
        </w:trPr>
        <w:tc>
          <w:tcPr>
            <w:tcW w:w="709" w:type="dxa"/>
          </w:tcPr>
          <w:p w14:paraId="7163E235"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val="en-US" w:eastAsia="ru-RU"/>
              </w:rPr>
              <w:t> </w:t>
            </w:r>
          </w:p>
        </w:tc>
        <w:tc>
          <w:tcPr>
            <w:tcW w:w="7088" w:type="dxa"/>
            <w:vAlign w:val="center"/>
          </w:tcPr>
          <w:p w14:paraId="1FE9F2E2" w14:textId="77777777" w:rsidR="00007514" w:rsidRPr="00007514" w:rsidRDefault="00007514" w:rsidP="00007514">
            <w:pPr>
              <w:spacing w:before="40" w:after="40" w:line="240" w:lineRule="auto"/>
              <w:ind w:left="176"/>
              <w:jc w:val="both"/>
              <w:rPr>
                <w:rFonts w:ascii="Times New Roman" w:eastAsia="Calibri" w:hAnsi="Times New Roman" w:cs="Arial"/>
                <w:i/>
                <w:color w:val="0070C0"/>
                <w:sz w:val="24"/>
                <w:szCs w:val="24"/>
                <w:lang w:eastAsia="ru-RU"/>
              </w:rPr>
            </w:pPr>
            <w:r w:rsidRPr="00007514">
              <w:rPr>
                <w:rFonts w:ascii="Times New Roman" w:eastAsia="Calibri" w:hAnsi="Times New Roman" w:cs="Arial"/>
                <w:i/>
                <w:color w:val="0070C0"/>
                <w:sz w:val="24"/>
                <w:szCs w:val="24"/>
                <w:lang w:eastAsia="ru-RU"/>
              </w:rPr>
              <w:t>от 75 до 100 %</w:t>
            </w:r>
          </w:p>
        </w:tc>
        <w:tc>
          <w:tcPr>
            <w:tcW w:w="567" w:type="dxa"/>
          </w:tcPr>
          <w:p w14:paraId="6D1783AB"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2</w:t>
            </w:r>
          </w:p>
        </w:tc>
        <w:tc>
          <w:tcPr>
            <w:tcW w:w="567" w:type="dxa"/>
          </w:tcPr>
          <w:p w14:paraId="3A232079"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0,5</w:t>
            </w:r>
          </w:p>
        </w:tc>
        <w:tc>
          <w:tcPr>
            <w:tcW w:w="567" w:type="dxa"/>
          </w:tcPr>
          <w:p w14:paraId="70A1846A"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p>
        </w:tc>
      </w:tr>
      <w:tr w:rsidR="00007514" w:rsidRPr="00007514" w14:paraId="24988651" w14:textId="77777777" w:rsidTr="00A1680F">
        <w:trPr>
          <w:trHeight w:val="20"/>
        </w:trPr>
        <w:tc>
          <w:tcPr>
            <w:tcW w:w="709" w:type="dxa"/>
          </w:tcPr>
          <w:p w14:paraId="68206E4E"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p>
        </w:tc>
        <w:tc>
          <w:tcPr>
            <w:tcW w:w="7088" w:type="dxa"/>
            <w:vAlign w:val="center"/>
          </w:tcPr>
          <w:p w14:paraId="3F34A723" w14:textId="77777777" w:rsidR="00007514" w:rsidRPr="00007514" w:rsidRDefault="00007514" w:rsidP="00007514">
            <w:pPr>
              <w:spacing w:before="40" w:after="40" w:line="240" w:lineRule="auto"/>
              <w:ind w:left="176"/>
              <w:jc w:val="both"/>
              <w:rPr>
                <w:rFonts w:ascii="Times New Roman" w:eastAsia="Calibri" w:hAnsi="Times New Roman" w:cs="Arial"/>
                <w:i/>
                <w:color w:val="0070C0"/>
                <w:sz w:val="24"/>
                <w:szCs w:val="24"/>
                <w:lang w:eastAsia="ru-RU"/>
              </w:rPr>
            </w:pPr>
            <w:r w:rsidRPr="00007514">
              <w:rPr>
                <w:rFonts w:ascii="Times New Roman" w:eastAsia="Calibri" w:hAnsi="Times New Roman" w:cs="Arial"/>
                <w:i/>
                <w:color w:val="0070C0"/>
                <w:sz w:val="24"/>
                <w:szCs w:val="24"/>
                <w:lang w:eastAsia="ru-RU"/>
              </w:rPr>
              <w:t>от 50 до 74,9 %</w:t>
            </w:r>
          </w:p>
        </w:tc>
        <w:tc>
          <w:tcPr>
            <w:tcW w:w="567" w:type="dxa"/>
          </w:tcPr>
          <w:p w14:paraId="61FCCCC5"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1</w:t>
            </w:r>
          </w:p>
        </w:tc>
        <w:tc>
          <w:tcPr>
            <w:tcW w:w="567" w:type="dxa"/>
          </w:tcPr>
          <w:p w14:paraId="3A48805A"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0,5</w:t>
            </w:r>
          </w:p>
        </w:tc>
        <w:tc>
          <w:tcPr>
            <w:tcW w:w="567" w:type="dxa"/>
          </w:tcPr>
          <w:p w14:paraId="0A70CDEC"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p>
        </w:tc>
      </w:tr>
      <w:tr w:rsidR="00007514" w:rsidRPr="00007514" w14:paraId="04DB6DE1" w14:textId="77777777" w:rsidTr="00A1680F">
        <w:trPr>
          <w:trHeight w:val="20"/>
        </w:trPr>
        <w:tc>
          <w:tcPr>
            <w:tcW w:w="709" w:type="dxa"/>
          </w:tcPr>
          <w:p w14:paraId="0A659204"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r w:rsidRPr="00007514">
              <w:rPr>
                <w:rFonts w:ascii="Times New Roman" w:eastAsia="Calibri" w:hAnsi="Times New Roman" w:cs="Arial"/>
                <w:color w:val="000000"/>
                <w:sz w:val="24"/>
                <w:szCs w:val="24"/>
                <w:lang w:val="en-US" w:eastAsia="ru-RU"/>
              </w:rPr>
              <w:t> </w:t>
            </w:r>
          </w:p>
        </w:tc>
        <w:tc>
          <w:tcPr>
            <w:tcW w:w="7088" w:type="dxa"/>
            <w:vAlign w:val="center"/>
          </w:tcPr>
          <w:p w14:paraId="759F6CF4" w14:textId="77777777" w:rsidR="00007514" w:rsidRPr="00007514" w:rsidRDefault="00007514" w:rsidP="00007514">
            <w:pPr>
              <w:spacing w:before="40" w:after="40" w:line="240" w:lineRule="auto"/>
              <w:ind w:left="176"/>
              <w:jc w:val="both"/>
              <w:rPr>
                <w:rFonts w:ascii="Times New Roman" w:eastAsia="Calibri" w:hAnsi="Times New Roman" w:cs="Arial"/>
                <w:i/>
                <w:color w:val="0070C0"/>
                <w:sz w:val="24"/>
                <w:szCs w:val="24"/>
                <w:lang w:eastAsia="ru-RU"/>
              </w:rPr>
            </w:pPr>
            <w:r w:rsidRPr="00007514">
              <w:rPr>
                <w:rFonts w:ascii="Times New Roman" w:eastAsia="Calibri" w:hAnsi="Times New Roman" w:cs="Arial"/>
                <w:i/>
                <w:color w:val="0070C0"/>
                <w:sz w:val="24"/>
                <w:szCs w:val="24"/>
                <w:lang w:eastAsia="ru-RU"/>
              </w:rPr>
              <w:t>от 0 до 49,9 % или расчет показателя затруднен</w:t>
            </w:r>
          </w:p>
        </w:tc>
        <w:tc>
          <w:tcPr>
            <w:tcW w:w="567" w:type="dxa"/>
          </w:tcPr>
          <w:p w14:paraId="0023D41D"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r w:rsidRPr="00007514">
              <w:rPr>
                <w:rFonts w:ascii="Times New Roman" w:eastAsia="Calibri" w:hAnsi="Times New Roman" w:cs="Arial"/>
                <w:iCs/>
                <w:color w:val="000000"/>
                <w:sz w:val="24"/>
                <w:szCs w:val="24"/>
                <w:lang w:eastAsia="ru-RU"/>
              </w:rPr>
              <w:t>0</w:t>
            </w:r>
          </w:p>
        </w:tc>
        <w:tc>
          <w:tcPr>
            <w:tcW w:w="567" w:type="dxa"/>
          </w:tcPr>
          <w:p w14:paraId="798D1F98"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p>
        </w:tc>
        <w:tc>
          <w:tcPr>
            <w:tcW w:w="567" w:type="dxa"/>
          </w:tcPr>
          <w:p w14:paraId="3601F9DD" w14:textId="77777777" w:rsidR="00007514" w:rsidRPr="00007514" w:rsidRDefault="00007514" w:rsidP="00007514">
            <w:pPr>
              <w:spacing w:before="40" w:after="40" w:line="240" w:lineRule="auto"/>
              <w:jc w:val="center"/>
              <w:rPr>
                <w:rFonts w:ascii="Times New Roman" w:eastAsia="Calibri" w:hAnsi="Times New Roman" w:cs="Arial"/>
                <w:iCs/>
                <w:color w:val="000000"/>
                <w:sz w:val="24"/>
                <w:szCs w:val="24"/>
                <w:lang w:eastAsia="ru-RU"/>
              </w:rPr>
            </w:pPr>
          </w:p>
        </w:tc>
      </w:tr>
    </w:tbl>
    <w:p w14:paraId="7112F500" w14:textId="77777777" w:rsidR="00007514" w:rsidRPr="00007514" w:rsidRDefault="00007514" w:rsidP="00007514">
      <w:pPr>
        <w:spacing w:after="0" w:line="360" w:lineRule="auto"/>
        <w:ind w:firstLine="709"/>
        <w:contextualSpacing/>
        <w:jc w:val="both"/>
        <w:rPr>
          <w:rFonts w:ascii="Times New Roman" w:eastAsia="Calibri" w:hAnsi="Times New Roman" w:cs="Times New Roman"/>
          <w:bCs/>
          <w:color w:val="000000"/>
          <w:sz w:val="28"/>
          <w:szCs w:val="28"/>
          <w:lang w:val="en-US"/>
        </w:rPr>
      </w:pPr>
    </w:p>
    <w:p w14:paraId="7F4DFDE7" w14:textId="0FD5855D" w:rsidR="00007514" w:rsidRPr="000B583A" w:rsidRDefault="00007514" w:rsidP="00BC178C">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 xml:space="preserve">В раздел 2 «Внесение изменений в закон о бюджете» предлагается включить новый показатель, учитывающий наличие в открытом доступе сведений о датах внесения, рассмотрения и утверждения законов о внесении изменений в закон о бюджете </w:t>
      </w:r>
    </w:p>
    <w:p w14:paraId="6E127F53"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lastRenderedPageBreak/>
        <w:t>Данная информация имеет значение в бюджетном процессе, однако найти ее в открытом доступе в настоящее время во многих субъектах Российской Федерации затруднительно. Аналогичные показатели применяются в рейтинге открытости применительно к законопроектам о бюджетах субъектов Российской Федерации (показатель 4.2) и к законопроектам об исполнении бюджетов субъектов Российской Федерации (показатель 5.2).</w:t>
      </w:r>
    </w:p>
    <w:p w14:paraId="56AB8F75" w14:textId="77777777" w:rsidR="00007514" w:rsidRPr="00007514" w:rsidRDefault="00007514" w:rsidP="00E4286C">
      <w:pPr>
        <w:keepNext/>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Предлагаемая редакция нового показателя:</w:t>
      </w:r>
    </w:p>
    <w:tbl>
      <w:tblPr>
        <w:tblW w:w="9357"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55"/>
        <w:gridCol w:w="567"/>
        <w:gridCol w:w="567"/>
        <w:gridCol w:w="568"/>
      </w:tblGrid>
      <w:tr w:rsidR="00007514" w:rsidRPr="00007514" w14:paraId="3631CA02" w14:textId="77777777" w:rsidTr="00A1680F">
        <w:trPr>
          <w:trHeight w:val="20"/>
        </w:trPr>
        <w:tc>
          <w:tcPr>
            <w:tcW w:w="7655" w:type="dxa"/>
            <w:vMerge w:val="restart"/>
            <w:vAlign w:val="center"/>
          </w:tcPr>
          <w:p w14:paraId="0EAB6289"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Вопросы и варианты ответов</w:t>
            </w:r>
          </w:p>
        </w:tc>
        <w:tc>
          <w:tcPr>
            <w:tcW w:w="567" w:type="dxa"/>
            <w:vMerge w:val="restart"/>
            <w:textDirection w:val="btLr"/>
            <w:vAlign w:val="center"/>
          </w:tcPr>
          <w:p w14:paraId="5FEFCBE1" w14:textId="77777777" w:rsidR="00007514" w:rsidRPr="00007514" w:rsidRDefault="00007514" w:rsidP="00007514">
            <w:pPr>
              <w:keepNext/>
              <w:spacing w:before="40" w:after="40" w:line="240" w:lineRule="auto"/>
              <w:ind w:left="113" w:right="113"/>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Баллы</w:t>
            </w:r>
          </w:p>
        </w:tc>
        <w:tc>
          <w:tcPr>
            <w:tcW w:w="1135" w:type="dxa"/>
            <w:gridSpan w:val="2"/>
            <w:tcBorders>
              <w:bottom w:val="single" w:sz="4" w:space="0" w:color="A6A6A6"/>
            </w:tcBorders>
            <w:vAlign w:val="center"/>
          </w:tcPr>
          <w:p w14:paraId="0D6D53BA"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Понижающие коэффициенты</w:t>
            </w:r>
          </w:p>
        </w:tc>
      </w:tr>
      <w:tr w:rsidR="00007514" w:rsidRPr="00007514" w14:paraId="4B43AD2F" w14:textId="77777777" w:rsidTr="00A1680F">
        <w:trPr>
          <w:trHeight w:val="20"/>
        </w:trPr>
        <w:tc>
          <w:tcPr>
            <w:tcW w:w="7655" w:type="dxa"/>
            <w:vMerge/>
            <w:tcBorders>
              <w:bottom w:val="single" w:sz="4" w:space="0" w:color="A6A6A6"/>
            </w:tcBorders>
            <w:vAlign w:val="center"/>
          </w:tcPr>
          <w:p w14:paraId="2F1F747C" w14:textId="77777777" w:rsidR="00007514" w:rsidRPr="00007514" w:rsidRDefault="00007514" w:rsidP="00007514">
            <w:pPr>
              <w:keepNext/>
              <w:spacing w:before="40" w:after="40" w:line="240" w:lineRule="auto"/>
              <w:ind w:firstLine="720"/>
              <w:jc w:val="both"/>
              <w:rPr>
                <w:rFonts w:ascii="Times New Roman" w:eastAsia="Times New Roman" w:hAnsi="Times New Roman" w:cs="Times New Roman"/>
                <w:caps/>
                <w:color w:val="000000"/>
                <w:sz w:val="24"/>
                <w:szCs w:val="24"/>
                <w:lang w:val="en-US" w:eastAsia="ru-RU"/>
              </w:rPr>
            </w:pPr>
          </w:p>
        </w:tc>
        <w:tc>
          <w:tcPr>
            <w:tcW w:w="567" w:type="dxa"/>
            <w:vMerge/>
            <w:tcBorders>
              <w:bottom w:val="single" w:sz="4" w:space="0" w:color="A6A6A6"/>
            </w:tcBorders>
            <w:vAlign w:val="center"/>
          </w:tcPr>
          <w:p w14:paraId="64C49701"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p>
        </w:tc>
        <w:tc>
          <w:tcPr>
            <w:tcW w:w="567" w:type="dxa"/>
            <w:tcBorders>
              <w:bottom w:val="single" w:sz="4" w:space="0" w:color="A6A6A6"/>
            </w:tcBorders>
            <w:vAlign w:val="center"/>
          </w:tcPr>
          <w:p w14:paraId="64E1F906"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К1</w:t>
            </w:r>
          </w:p>
        </w:tc>
        <w:tc>
          <w:tcPr>
            <w:tcW w:w="568" w:type="dxa"/>
            <w:tcBorders>
              <w:bottom w:val="single" w:sz="4" w:space="0" w:color="A6A6A6"/>
            </w:tcBorders>
            <w:vAlign w:val="center"/>
          </w:tcPr>
          <w:p w14:paraId="4C1B3817"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К2</w:t>
            </w:r>
          </w:p>
        </w:tc>
      </w:tr>
      <w:tr w:rsidR="00007514" w:rsidRPr="00007514" w14:paraId="4F3F79CF" w14:textId="77777777" w:rsidTr="00A1680F">
        <w:trPr>
          <w:trHeight w:val="20"/>
        </w:trPr>
        <w:tc>
          <w:tcPr>
            <w:tcW w:w="7655" w:type="dxa"/>
            <w:vAlign w:val="center"/>
          </w:tcPr>
          <w:p w14:paraId="7E57D450" w14:textId="77777777" w:rsidR="00007514" w:rsidRPr="00007514" w:rsidRDefault="00007514" w:rsidP="00007514">
            <w:pPr>
              <w:spacing w:before="40" w:after="40" w:line="240" w:lineRule="auto"/>
              <w:jc w:val="both"/>
              <w:rPr>
                <w:rFonts w:ascii="Times New Roman" w:eastAsia="Calibri" w:hAnsi="Times New Roman" w:cs="Arial"/>
                <w:b/>
                <w:color w:val="000000"/>
                <w:sz w:val="24"/>
                <w:szCs w:val="24"/>
                <w:lang w:eastAsia="ru-RU"/>
              </w:rPr>
            </w:pPr>
            <w:r w:rsidRPr="00007514">
              <w:rPr>
                <w:rFonts w:ascii="Times New Roman" w:eastAsia="Calibri" w:hAnsi="Times New Roman" w:cs="Arial"/>
                <w:b/>
                <w:color w:val="000000"/>
                <w:sz w:val="24"/>
                <w:szCs w:val="24"/>
                <w:lang w:eastAsia="ru-RU"/>
              </w:rPr>
              <w:t>Размещаются ли в открытом доступе на сайте законодательного (представительного) органа или на сайте, предназначенном для размещения бюджетных данных, сведения о хронологии рассмотрения и утверждения законов о внесении изменений в закон о бюджете?</w:t>
            </w:r>
          </w:p>
          <w:p w14:paraId="0A790504" w14:textId="6F8EB5F5" w:rsidR="00007514" w:rsidRPr="00007514" w:rsidRDefault="00007514" w:rsidP="00007514">
            <w:pPr>
              <w:spacing w:before="40" w:after="40" w:line="240" w:lineRule="auto"/>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Под хронологией рассмотрения и утверждения закона о внесении изменений в закон о бюджет</w:t>
            </w:r>
            <w:r w:rsidR="000A7A89">
              <w:rPr>
                <w:rFonts w:ascii="Times New Roman" w:eastAsia="Calibri" w:hAnsi="Times New Roman" w:cs="Arial"/>
                <w:color w:val="000000"/>
                <w:sz w:val="24"/>
                <w:szCs w:val="24"/>
                <w:lang w:eastAsia="ru-RU"/>
              </w:rPr>
              <w:t>е</w:t>
            </w:r>
            <w:r w:rsidRPr="00007514">
              <w:rPr>
                <w:rFonts w:ascii="Times New Roman" w:eastAsia="Calibri" w:hAnsi="Times New Roman" w:cs="Arial"/>
                <w:color w:val="000000"/>
                <w:sz w:val="24"/>
                <w:szCs w:val="24"/>
                <w:lang w:eastAsia="ru-RU"/>
              </w:rPr>
              <w:t xml:space="preserve"> понимаются фактические даты следующих событий:</w:t>
            </w:r>
          </w:p>
          <w:p w14:paraId="5FC218FB" w14:textId="77777777" w:rsidR="00007514" w:rsidRPr="00007514" w:rsidRDefault="00007514" w:rsidP="00C85718">
            <w:pPr>
              <w:numPr>
                <w:ilvl w:val="0"/>
                <w:numId w:val="24"/>
              </w:numPr>
              <w:tabs>
                <w:tab w:val="left" w:pos="459"/>
              </w:tabs>
              <w:spacing w:before="40" w:after="40" w:line="240" w:lineRule="auto"/>
              <w:ind w:left="34" w:firstLine="0"/>
              <w:contextualSpacing/>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внесение проекта закона в законодательный (представительный) орган;</w:t>
            </w:r>
          </w:p>
          <w:p w14:paraId="34454DAB" w14:textId="77777777" w:rsidR="00007514" w:rsidRPr="00007514" w:rsidRDefault="00007514" w:rsidP="00C85718">
            <w:pPr>
              <w:numPr>
                <w:ilvl w:val="0"/>
                <w:numId w:val="24"/>
              </w:numPr>
              <w:tabs>
                <w:tab w:val="left" w:pos="459"/>
              </w:tabs>
              <w:spacing w:before="40" w:after="40" w:line="240" w:lineRule="auto"/>
              <w:ind w:left="34" w:firstLine="0"/>
              <w:contextualSpacing/>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рассмотрение проекта закона в первом, втором и последующих (при наличии) чтениях;</w:t>
            </w:r>
          </w:p>
          <w:p w14:paraId="61C175F5" w14:textId="573B4632" w:rsidR="00007514" w:rsidRPr="00007514" w:rsidRDefault="00007514" w:rsidP="00C85718">
            <w:pPr>
              <w:numPr>
                <w:ilvl w:val="0"/>
                <w:numId w:val="24"/>
              </w:numPr>
              <w:tabs>
                <w:tab w:val="left" w:pos="459"/>
              </w:tabs>
              <w:spacing w:before="40" w:after="40" w:line="240" w:lineRule="auto"/>
              <w:ind w:left="34" w:firstLine="0"/>
              <w:contextualSpacing/>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принятие закона законодательным (представительным) органом</w:t>
            </w:r>
            <w:r w:rsidR="000A7A89">
              <w:rPr>
                <w:rFonts w:ascii="Times New Roman" w:eastAsia="Calibri" w:hAnsi="Times New Roman" w:cs="Arial"/>
                <w:color w:val="000000"/>
                <w:sz w:val="24"/>
                <w:szCs w:val="24"/>
                <w:lang w:eastAsia="ru-RU"/>
              </w:rPr>
              <w:t xml:space="preserve"> власти</w:t>
            </w:r>
            <w:r w:rsidRPr="00007514">
              <w:rPr>
                <w:rFonts w:ascii="Times New Roman" w:eastAsia="Calibri" w:hAnsi="Times New Roman" w:cs="Arial"/>
                <w:color w:val="000000"/>
                <w:sz w:val="24"/>
                <w:szCs w:val="24"/>
                <w:lang w:eastAsia="ru-RU"/>
              </w:rPr>
              <w:t>.</w:t>
            </w:r>
          </w:p>
          <w:p w14:paraId="55D713DD" w14:textId="77777777" w:rsidR="00007514" w:rsidRPr="00007514" w:rsidRDefault="00007514" w:rsidP="00007514">
            <w:pPr>
              <w:spacing w:before="40" w:after="40" w:line="240" w:lineRule="auto"/>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 xml:space="preserve">В целях оценки показателя учитываются сведения, размещенные в одном месте с проектом закона на сайте законодательного (представительного) органа (предпочтительно) или на сайте, предназначенном для размещения бюджетных данных. </w:t>
            </w:r>
          </w:p>
          <w:p w14:paraId="3721F9A6" w14:textId="77777777" w:rsidR="00007514" w:rsidRPr="00007514" w:rsidRDefault="00007514" w:rsidP="00007514">
            <w:pPr>
              <w:spacing w:before="40" w:after="40" w:line="240" w:lineRule="auto"/>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В целях оценки показателя сведения о фактических датах событий должны быть размещены:</w:t>
            </w:r>
          </w:p>
          <w:p w14:paraId="2D733284" w14:textId="77777777" w:rsidR="00007514" w:rsidRPr="000B583A" w:rsidRDefault="00007514" w:rsidP="000B583A">
            <w:pPr>
              <w:numPr>
                <w:ilvl w:val="0"/>
                <w:numId w:val="25"/>
              </w:numPr>
              <w:tabs>
                <w:tab w:val="left" w:pos="312"/>
              </w:tabs>
              <w:spacing w:before="40" w:after="40" w:line="240" w:lineRule="auto"/>
              <w:ind w:left="0" w:firstLine="0"/>
              <w:contextualSpacing/>
              <w:jc w:val="both"/>
              <w:rPr>
                <w:rFonts w:ascii="Times New Roman" w:eastAsia="Calibri" w:hAnsi="Times New Roman" w:cs="Arial"/>
                <w:sz w:val="24"/>
                <w:szCs w:val="24"/>
                <w:lang w:eastAsia="ru-RU"/>
              </w:rPr>
            </w:pPr>
            <w:r w:rsidRPr="000B583A">
              <w:rPr>
                <w:rFonts w:ascii="Times New Roman" w:eastAsia="Calibri" w:hAnsi="Times New Roman" w:cs="Arial"/>
                <w:sz w:val="24"/>
                <w:szCs w:val="24"/>
                <w:lang w:eastAsia="ru-RU"/>
              </w:rPr>
              <w:t>для события, указанного в пункте «а» – не позднее двух рабочих дней после соответствующего события;</w:t>
            </w:r>
          </w:p>
          <w:p w14:paraId="3765CA4B" w14:textId="2859C702" w:rsidR="00007514" w:rsidRPr="000B583A" w:rsidRDefault="00007514" w:rsidP="000B583A">
            <w:pPr>
              <w:numPr>
                <w:ilvl w:val="0"/>
                <w:numId w:val="25"/>
              </w:numPr>
              <w:tabs>
                <w:tab w:val="left" w:pos="312"/>
              </w:tabs>
              <w:spacing w:before="40" w:after="40" w:line="240" w:lineRule="auto"/>
              <w:ind w:left="0" w:firstLine="0"/>
              <w:contextualSpacing/>
              <w:jc w:val="both"/>
              <w:rPr>
                <w:rFonts w:ascii="Times New Roman" w:eastAsia="Calibri" w:hAnsi="Times New Roman" w:cs="Arial"/>
                <w:b/>
                <w:sz w:val="24"/>
                <w:szCs w:val="24"/>
                <w:lang w:eastAsia="ru-RU"/>
              </w:rPr>
            </w:pPr>
            <w:r w:rsidRPr="000B583A">
              <w:rPr>
                <w:rFonts w:ascii="Times New Roman" w:eastAsia="Calibri" w:hAnsi="Times New Roman" w:cs="Arial"/>
                <w:sz w:val="24"/>
                <w:szCs w:val="24"/>
                <w:lang w:eastAsia="ru-RU"/>
              </w:rPr>
              <w:t>для событий, указанных в пунктах «б» и «в» – не позднее чем за один рабочий день до соответствующего события.</w:t>
            </w:r>
          </w:p>
          <w:p w14:paraId="570E7F01" w14:textId="77777777" w:rsidR="00007514" w:rsidRPr="00007514" w:rsidRDefault="00007514" w:rsidP="00007514">
            <w:pPr>
              <w:spacing w:before="40" w:after="40" w:line="240" w:lineRule="auto"/>
              <w:ind w:left="31"/>
              <w:jc w:val="both"/>
              <w:rPr>
                <w:rFonts w:ascii="Times New Roman" w:eastAsia="Calibri" w:hAnsi="Times New Roman" w:cs="Arial"/>
                <w:b/>
                <w:color w:val="000000"/>
                <w:sz w:val="24"/>
                <w:szCs w:val="24"/>
                <w:lang w:eastAsia="ru-RU"/>
              </w:rPr>
            </w:pPr>
            <w:r w:rsidRPr="00007514">
              <w:rPr>
                <w:rFonts w:ascii="Times New Roman" w:eastAsia="Calibri" w:hAnsi="Times New Roman" w:cs="Arial"/>
                <w:color w:val="000000"/>
                <w:sz w:val="24"/>
                <w:szCs w:val="24"/>
                <w:lang w:eastAsia="ru-RU"/>
              </w:rPr>
              <w:t>Для оценки показателя требуется размещение сведений о хронологии рассмотрения и утверждения всех законов о внесении изменений в закон о бюджете на 2022 год и на плановый период 2023 и 2024 годов, принятых в субъекте Российской Федерации.</w:t>
            </w:r>
          </w:p>
        </w:tc>
        <w:tc>
          <w:tcPr>
            <w:tcW w:w="567" w:type="dxa"/>
          </w:tcPr>
          <w:p w14:paraId="622B2872"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c>
          <w:tcPr>
            <w:tcW w:w="567" w:type="dxa"/>
          </w:tcPr>
          <w:p w14:paraId="2CBB8A83"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c>
          <w:tcPr>
            <w:tcW w:w="568" w:type="dxa"/>
          </w:tcPr>
          <w:p w14:paraId="31BD890D"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eastAsia="ru-RU"/>
              </w:rPr>
            </w:pPr>
          </w:p>
        </w:tc>
      </w:tr>
      <w:tr w:rsidR="00007514" w:rsidRPr="00007514" w14:paraId="435A9DFA" w14:textId="77777777" w:rsidTr="00A1680F">
        <w:trPr>
          <w:trHeight w:val="20"/>
        </w:trPr>
        <w:tc>
          <w:tcPr>
            <w:tcW w:w="7655" w:type="dxa"/>
            <w:vAlign w:val="center"/>
          </w:tcPr>
          <w:p w14:paraId="5130DBFB" w14:textId="77777777" w:rsidR="00007514" w:rsidRPr="00007514" w:rsidRDefault="00007514" w:rsidP="00007514">
            <w:pPr>
              <w:spacing w:before="40" w:after="40" w:line="240" w:lineRule="auto"/>
              <w:ind w:left="318"/>
              <w:jc w:val="both"/>
              <w:rPr>
                <w:rFonts w:ascii="Times New Roman" w:eastAsia="Calibri" w:hAnsi="Times New Roman" w:cs="Arial"/>
                <w:b/>
                <w:color w:val="000000"/>
                <w:sz w:val="24"/>
                <w:szCs w:val="24"/>
                <w:lang w:eastAsia="ru-RU"/>
              </w:rPr>
            </w:pPr>
            <w:r w:rsidRPr="00007514">
              <w:rPr>
                <w:rFonts w:ascii="Times New Roman" w:eastAsia="Calibri" w:hAnsi="Times New Roman" w:cs="Arial"/>
                <w:i/>
                <w:color w:val="000000"/>
                <w:sz w:val="24"/>
                <w:szCs w:val="24"/>
                <w:lang w:eastAsia="ru-RU"/>
              </w:rPr>
              <w:t>Да, размещаются</w:t>
            </w:r>
          </w:p>
        </w:tc>
        <w:tc>
          <w:tcPr>
            <w:tcW w:w="567" w:type="dxa"/>
          </w:tcPr>
          <w:p w14:paraId="5A740798"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r w:rsidRPr="00007514">
              <w:rPr>
                <w:rFonts w:ascii="Times New Roman" w:eastAsia="Calibri" w:hAnsi="Times New Roman" w:cs="Arial"/>
                <w:color w:val="000000"/>
                <w:sz w:val="24"/>
                <w:szCs w:val="24"/>
                <w:lang w:val="en-US" w:eastAsia="ru-RU"/>
              </w:rPr>
              <w:t>2</w:t>
            </w:r>
          </w:p>
        </w:tc>
        <w:tc>
          <w:tcPr>
            <w:tcW w:w="567" w:type="dxa"/>
          </w:tcPr>
          <w:p w14:paraId="30544323" w14:textId="77777777" w:rsidR="00007514" w:rsidRPr="00007514" w:rsidRDefault="00007514" w:rsidP="00007514">
            <w:pPr>
              <w:spacing w:before="40" w:after="40" w:line="240" w:lineRule="auto"/>
              <w:ind w:left="31"/>
              <w:jc w:val="both"/>
              <w:rPr>
                <w:rFonts w:ascii="Times New Roman" w:eastAsia="Calibri" w:hAnsi="Times New Roman" w:cs="Arial"/>
                <w:color w:val="000000"/>
                <w:sz w:val="24"/>
                <w:szCs w:val="24"/>
                <w:lang w:eastAsia="ru-RU"/>
              </w:rPr>
            </w:pPr>
            <w:r w:rsidRPr="00007514">
              <w:rPr>
                <w:rFonts w:ascii="Times New Roman" w:eastAsia="Calibri" w:hAnsi="Times New Roman" w:cs="Arial"/>
                <w:color w:val="000000"/>
                <w:sz w:val="24"/>
                <w:szCs w:val="24"/>
                <w:lang w:eastAsia="ru-RU"/>
              </w:rPr>
              <w:t>0,5</w:t>
            </w:r>
          </w:p>
        </w:tc>
        <w:tc>
          <w:tcPr>
            <w:tcW w:w="568" w:type="dxa"/>
          </w:tcPr>
          <w:p w14:paraId="2BA0654A"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p>
        </w:tc>
      </w:tr>
      <w:tr w:rsidR="00007514" w:rsidRPr="00007514" w14:paraId="07CC77F5" w14:textId="77777777" w:rsidTr="00A1680F">
        <w:trPr>
          <w:trHeight w:val="20"/>
        </w:trPr>
        <w:tc>
          <w:tcPr>
            <w:tcW w:w="7655" w:type="dxa"/>
            <w:vAlign w:val="center"/>
          </w:tcPr>
          <w:p w14:paraId="066B4E59" w14:textId="77777777" w:rsidR="00007514" w:rsidRPr="00007514" w:rsidRDefault="00007514" w:rsidP="00007514">
            <w:pPr>
              <w:spacing w:before="40" w:after="40" w:line="240" w:lineRule="auto"/>
              <w:ind w:left="318"/>
              <w:jc w:val="both"/>
              <w:rPr>
                <w:rFonts w:ascii="Times New Roman" w:eastAsia="Calibri" w:hAnsi="Times New Roman" w:cs="Arial"/>
                <w:b/>
                <w:color w:val="000000"/>
                <w:sz w:val="24"/>
                <w:szCs w:val="24"/>
                <w:lang w:eastAsia="ru-RU"/>
              </w:rPr>
            </w:pPr>
            <w:r w:rsidRPr="00007514">
              <w:rPr>
                <w:rFonts w:ascii="Times New Roman" w:eastAsia="Calibri" w:hAnsi="Times New Roman" w:cs="Arial"/>
                <w:i/>
                <w:color w:val="000000"/>
                <w:sz w:val="24"/>
                <w:szCs w:val="24"/>
                <w:lang w:eastAsia="ru-RU"/>
              </w:rPr>
              <w:t>Нет, не размещаются или не отвечают требованиям</w:t>
            </w:r>
          </w:p>
        </w:tc>
        <w:tc>
          <w:tcPr>
            <w:tcW w:w="567" w:type="dxa"/>
          </w:tcPr>
          <w:p w14:paraId="5DA96D98"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r w:rsidRPr="00007514">
              <w:rPr>
                <w:rFonts w:ascii="Times New Roman" w:eastAsia="Calibri" w:hAnsi="Times New Roman" w:cs="Arial"/>
                <w:color w:val="000000"/>
                <w:sz w:val="24"/>
                <w:szCs w:val="24"/>
                <w:lang w:val="en-US" w:eastAsia="ru-RU"/>
              </w:rPr>
              <w:t>0</w:t>
            </w:r>
          </w:p>
        </w:tc>
        <w:tc>
          <w:tcPr>
            <w:tcW w:w="567" w:type="dxa"/>
          </w:tcPr>
          <w:p w14:paraId="47DE4213"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p>
        </w:tc>
        <w:tc>
          <w:tcPr>
            <w:tcW w:w="568" w:type="dxa"/>
          </w:tcPr>
          <w:p w14:paraId="3499B549" w14:textId="77777777" w:rsidR="00007514" w:rsidRPr="00007514" w:rsidRDefault="00007514" w:rsidP="00007514">
            <w:pPr>
              <w:spacing w:before="40" w:after="40" w:line="240" w:lineRule="auto"/>
              <w:ind w:firstLine="720"/>
              <w:jc w:val="center"/>
              <w:rPr>
                <w:rFonts w:ascii="Times New Roman" w:eastAsia="Calibri" w:hAnsi="Times New Roman" w:cs="Arial"/>
                <w:color w:val="000000"/>
                <w:sz w:val="24"/>
                <w:szCs w:val="24"/>
                <w:lang w:val="en-US" w:eastAsia="ru-RU"/>
              </w:rPr>
            </w:pPr>
          </w:p>
        </w:tc>
      </w:tr>
    </w:tbl>
    <w:p w14:paraId="4A229B97" w14:textId="77777777" w:rsidR="00007514" w:rsidRPr="00007514" w:rsidRDefault="00007514" w:rsidP="00007514">
      <w:pPr>
        <w:tabs>
          <w:tab w:val="left" w:pos="1134"/>
        </w:tabs>
        <w:spacing w:after="0" w:line="360" w:lineRule="auto"/>
        <w:ind w:left="709" w:firstLine="720"/>
        <w:jc w:val="both"/>
        <w:rPr>
          <w:rFonts w:ascii="Times New Roman" w:eastAsia="Calibri" w:hAnsi="Times New Roman" w:cs="Times New Roman"/>
          <w:b/>
          <w:bCs/>
          <w:color w:val="000000"/>
          <w:sz w:val="28"/>
          <w:szCs w:val="28"/>
          <w:lang w:val="en-US"/>
        </w:rPr>
      </w:pPr>
    </w:p>
    <w:p w14:paraId="69B4E37D" w14:textId="1C81B2B6" w:rsidR="00E4286C" w:rsidRPr="000B583A" w:rsidRDefault="00007514" w:rsidP="00BC178C">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w:t>
      </w:r>
      <w:r w:rsidR="00705767" w:rsidRPr="000B583A">
        <w:rPr>
          <w:rFonts w:eastAsia="Calibri" w:cs="Times New Roman"/>
          <w:bCs/>
          <w:color w:val="000000"/>
          <w:lang w:val="ru-RU"/>
        </w:rPr>
        <w:t xml:space="preserve"> </w:t>
      </w:r>
      <w:r w:rsidR="00E4286C" w:rsidRPr="000B583A">
        <w:rPr>
          <w:rFonts w:eastAsia="Calibri" w:cs="Times New Roman"/>
          <w:bCs/>
          <w:color w:val="000000"/>
          <w:lang w:val="ru-RU"/>
        </w:rPr>
        <w:t>3.4, 3.9, 4.7, 5.7</w:t>
      </w:r>
    </w:p>
    <w:p w14:paraId="202731A9" w14:textId="5B8810AB" w:rsidR="0089296E" w:rsidRPr="0089296E" w:rsidRDefault="0089296E" w:rsidP="00E4286C">
      <w:pPr>
        <w:pStyle w:val="a7"/>
        <w:tabs>
          <w:tab w:val="left" w:pos="1276"/>
        </w:tabs>
        <w:snapToGrid w:val="0"/>
        <w:ind w:left="0" w:firstLine="709"/>
        <w:contextualSpacing w:val="0"/>
        <w:rPr>
          <w:rFonts w:eastAsia="Calibri" w:cs="Times New Roman"/>
          <w:bCs/>
          <w:color w:val="000000"/>
          <w:lang w:val="ru-RU"/>
        </w:rPr>
      </w:pPr>
      <w:r>
        <w:rPr>
          <w:rFonts w:eastAsia="Calibri" w:cs="Times New Roman"/>
          <w:bCs/>
          <w:color w:val="000000"/>
          <w:lang w:val="ru-RU"/>
        </w:rPr>
        <w:t>В комментариях к показателям п</w:t>
      </w:r>
      <w:r w:rsidR="00007514" w:rsidRPr="0089296E">
        <w:rPr>
          <w:rFonts w:eastAsia="Calibri" w:cs="Times New Roman"/>
          <w:bCs/>
          <w:color w:val="000000"/>
          <w:lang w:val="ru-RU"/>
        </w:rPr>
        <w:t xml:space="preserve">редлагается дополнительно указать, что в случае непредставления данных о непрограммных видах деятельности (при их наличии) </w:t>
      </w:r>
      <w:r w:rsidR="00705767">
        <w:rPr>
          <w:rFonts w:eastAsia="Calibri" w:cs="Times New Roman"/>
          <w:bCs/>
          <w:color w:val="000000"/>
          <w:lang w:val="ru-RU"/>
        </w:rPr>
        <w:t xml:space="preserve">и (или) общего объема расходов </w:t>
      </w:r>
      <w:r w:rsidR="00007514" w:rsidRPr="0089296E">
        <w:rPr>
          <w:rFonts w:eastAsia="Calibri" w:cs="Times New Roman"/>
          <w:bCs/>
          <w:color w:val="000000"/>
          <w:lang w:val="ru-RU"/>
        </w:rPr>
        <w:t>оценка показателя принимает значение ноль баллов</w:t>
      </w:r>
      <w:r w:rsidR="00705767">
        <w:rPr>
          <w:rFonts w:eastAsia="Calibri" w:cs="Times New Roman"/>
          <w:bCs/>
          <w:color w:val="000000"/>
          <w:lang w:val="ru-RU"/>
        </w:rPr>
        <w:t xml:space="preserve">. </w:t>
      </w:r>
      <w:r w:rsidR="002A7EC1" w:rsidRPr="0089296E">
        <w:rPr>
          <w:rFonts w:eastAsia="Calibri" w:cs="Times New Roman"/>
          <w:bCs/>
          <w:color w:val="000000"/>
          <w:lang w:val="ru-RU"/>
        </w:rPr>
        <w:t xml:space="preserve"> </w:t>
      </w:r>
    </w:p>
    <w:p w14:paraId="20AAAFE2" w14:textId="55735F24"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На практике сохраняются случаи, когда в программной структуре расходов информация о непрограммных видах деятельности </w:t>
      </w:r>
      <w:r w:rsidR="00705767">
        <w:rPr>
          <w:rFonts w:ascii="Times New Roman" w:eastAsia="Calibri" w:hAnsi="Times New Roman" w:cs="Times New Roman"/>
          <w:bCs/>
          <w:color w:val="000000"/>
          <w:sz w:val="28"/>
          <w:szCs w:val="28"/>
        </w:rPr>
        <w:t xml:space="preserve">и (или) общем объеме расходов </w:t>
      </w:r>
      <w:r w:rsidRPr="00007514">
        <w:rPr>
          <w:rFonts w:ascii="Times New Roman" w:eastAsia="Calibri" w:hAnsi="Times New Roman" w:cs="Times New Roman"/>
          <w:bCs/>
          <w:color w:val="000000"/>
          <w:sz w:val="28"/>
          <w:szCs w:val="28"/>
        </w:rPr>
        <w:t>отсутствует. В результате данные имеют фрагментарный характер (представлена только часть расходов бюджета), их ценность снижается, а регион получает по показателю оценку ноль баллов.</w:t>
      </w:r>
    </w:p>
    <w:p w14:paraId="7F18951B" w14:textId="77777777" w:rsidR="00E4286C" w:rsidRPr="000B583A" w:rsidRDefault="00007514" w:rsidP="00BC178C">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4.5, 4.6, 4.7</w:t>
      </w:r>
    </w:p>
    <w:p w14:paraId="4F2A343D" w14:textId="65296328" w:rsidR="00007514" w:rsidRPr="00705767" w:rsidRDefault="00007514" w:rsidP="00E4286C">
      <w:pPr>
        <w:pStyle w:val="a7"/>
        <w:tabs>
          <w:tab w:val="left" w:pos="1276"/>
        </w:tabs>
        <w:snapToGrid w:val="0"/>
        <w:ind w:left="0" w:firstLine="709"/>
        <w:contextualSpacing w:val="0"/>
        <w:rPr>
          <w:rFonts w:eastAsia="Calibri" w:cs="Times New Roman"/>
          <w:bCs/>
          <w:color w:val="000000"/>
          <w:lang w:val="ru-RU"/>
        </w:rPr>
      </w:pPr>
      <w:r w:rsidRPr="00705767">
        <w:rPr>
          <w:rFonts w:eastAsia="Calibri" w:cs="Times New Roman"/>
          <w:bCs/>
          <w:color w:val="000000"/>
          <w:lang w:val="ru-RU"/>
        </w:rPr>
        <w:t>Предлагается уточнить требования к представлению сведений для максимальной оценки показателей, а именно:</w:t>
      </w:r>
    </w:p>
    <w:p w14:paraId="2122D869" w14:textId="77777777" w:rsidR="00007514" w:rsidRPr="00007514" w:rsidRDefault="00007514" w:rsidP="00007514">
      <w:pPr>
        <w:numPr>
          <w:ilvl w:val="0"/>
          <w:numId w:val="10"/>
        </w:numPr>
        <w:tabs>
          <w:tab w:val="left" w:pos="1134"/>
        </w:tabs>
        <w:spacing w:after="0" w:line="360" w:lineRule="auto"/>
        <w:ind w:left="0" w:firstLine="709"/>
        <w:jc w:val="both"/>
        <w:rPr>
          <w:rFonts w:ascii="Times New Roman" w:eastAsia="Calibri" w:hAnsi="Times New Roman" w:cs="Arial"/>
          <w:color w:val="000000"/>
          <w:sz w:val="28"/>
          <w:szCs w:val="28"/>
          <w:lang w:eastAsia="ru-RU"/>
        </w:rPr>
      </w:pPr>
      <w:r w:rsidRPr="00007514">
        <w:rPr>
          <w:rFonts w:ascii="Times New Roman" w:eastAsia="Calibri" w:hAnsi="Times New Roman" w:cs="Arial"/>
          <w:color w:val="000000"/>
          <w:sz w:val="28"/>
          <w:szCs w:val="28"/>
          <w:lang w:eastAsia="ru-RU"/>
        </w:rPr>
        <w:t xml:space="preserve"> Наряду с абсолютными значениями первоначально утвержденных законом о бюджете бюджетных показателей, уточненных бюджетных назначений и фактического исполнения бюджетных показателей в составе сведений представлять:</w:t>
      </w:r>
    </w:p>
    <w:p w14:paraId="50D4FC3A" w14:textId="77777777" w:rsidR="00007514" w:rsidRPr="00007514" w:rsidRDefault="00007514" w:rsidP="00007514">
      <w:pPr>
        <w:numPr>
          <w:ilvl w:val="0"/>
          <w:numId w:val="11"/>
        </w:numPr>
        <w:tabs>
          <w:tab w:val="left" w:pos="1134"/>
        </w:tabs>
        <w:spacing w:after="0" w:line="360" w:lineRule="auto"/>
        <w:ind w:left="0" w:firstLine="709"/>
        <w:jc w:val="both"/>
        <w:rPr>
          <w:rFonts w:ascii="Times New Roman" w:eastAsia="Calibri" w:hAnsi="Times New Roman" w:cs="Arial"/>
          <w:color w:val="000000"/>
          <w:sz w:val="28"/>
          <w:szCs w:val="28"/>
          <w:lang w:eastAsia="ru-RU"/>
        </w:rPr>
      </w:pPr>
      <w:r w:rsidRPr="00007514">
        <w:rPr>
          <w:rFonts w:ascii="Times New Roman" w:eastAsia="Calibri" w:hAnsi="Times New Roman" w:cs="Arial"/>
          <w:color w:val="000000"/>
          <w:sz w:val="28"/>
          <w:szCs w:val="28"/>
          <w:lang w:eastAsia="ru-RU"/>
        </w:rPr>
        <w:t>процент исполнения первоначального плана и пояснения различий между первоначально утвержденными бюджетными показателями и их фактическими значениями в случаях, если такие отклонения составили 5 % и более как в большую, так и в меньшую сторону;</w:t>
      </w:r>
    </w:p>
    <w:p w14:paraId="15DD0CDF" w14:textId="77777777" w:rsidR="00007514" w:rsidRPr="00007514" w:rsidRDefault="00007514" w:rsidP="00007514">
      <w:pPr>
        <w:numPr>
          <w:ilvl w:val="0"/>
          <w:numId w:val="11"/>
        </w:numPr>
        <w:tabs>
          <w:tab w:val="left" w:pos="1134"/>
        </w:tabs>
        <w:spacing w:after="0" w:line="360" w:lineRule="auto"/>
        <w:ind w:left="0" w:firstLine="709"/>
        <w:jc w:val="both"/>
        <w:rPr>
          <w:rFonts w:ascii="Times New Roman" w:eastAsia="Calibri" w:hAnsi="Times New Roman" w:cs="Arial"/>
          <w:color w:val="000000"/>
          <w:sz w:val="28"/>
          <w:szCs w:val="28"/>
          <w:lang w:eastAsia="ru-RU"/>
        </w:rPr>
      </w:pPr>
      <w:r w:rsidRPr="00007514">
        <w:rPr>
          <w:rFonts w:ascii="Times New Roman" w:eastAsia="Calibri" w:hAnsi="Times New Roman" w:cs="Arial"/>
          <w:color w:val="000000"/>
          <w:sz w:val="28"/>
          <w:szCs w:val="28"/>
          <w:lang w:eastAsia="ru-RU"/>
        </w:rPr>
        <w:t>процент исполнения уточненного плана и пояснения различий между уточненными плановыми бюджетными показателями и их фактическими значениями в случаях, если такие отклонения составили 5 % и более как в большую, так и в меньшую сторону.</w:t>
      </w:r>
    </w:p>
    <w:p w14:paraId="5C438BA5" w14:textId="77777777" w:rsidR="00007514" w:rsidRPr="00007514" w:rsidRDefault="00007514" w:rsidP="00007514">
      <w:pPr>
        <w:numPr>
          <w:ilvl w:val="0"/>
          <w:numId w:val="10"/>
        </w:numPr>
        <w:tabs>
          <w:tab w:val="left" w:pos="1134"/>
        </w:tabs>
        <w:spacing w:after="0" w:line="360" w:lineRule="auto"/>
        <w:ind w:left="0" w:firstLine="709"/>
        <w:jc w:val="both"/>
        <w:rPr>
          <w:rFonts w:ascii="Times New Roman" w:eastAsia="Calibri" w:hAnsi="Times New Roman" w:cs="Arial"/>
          <w:color w:val="000000"/>
          <w:sz w:val="28"/>
          <w:szCs w:val="28"/>
          <w:lang w:eastAsia="ru-RU"/>
        </w:rPr>
      </w:pPr>
      <w:r w:rsidRPr="00007514">
        <w:rPr>
          <w:rFonts w:ascii="Times New Roman" w:eastAsia="Calibri" w:hAnsi="Times New Roman" w:cs="Arial"/>
          <w:color w:val="000000"/>
          <w:sz w:val="28"/>
          <w:szCs w:val="28"/>
          <w:lang w:eastAsia="ru-RU"/>
        </w:rPr>
        <w:t xml:space="preserve">Предусмотреть случай для применения понижающего коэффициента (К2), если пояснения различий между первоначально утвержденными бюджетными показателями и их фактическими значениями и пояснения </w:t>
      </w:r>
      <w:r w:rsidRPr="00007514">
        <w:rPr>
          <w:rFonts w:ascii="Times New Roman" w:eastAsia="Calibri" w:hAnsi="Times New Roman" w:cs="Arial"/>
          <w:color w:val="000000"/>
          <w:sz w:val="28"/>
          <w:szCs w:val="28"/>
          <w:lang w:eastAsia="ru-RU"/>
        </w:rPr>
        <w:lastRenderedPageBreak/>
        <w:t>различий между уточненными плановыми бюджетными показателями и их фактическими значениями представлены в одной графе.</w:t>
      </w:r>
    </w:p>
    <w:p w14:paraId="26512178" w14:textId="77777777" w:rsidR="00007514" w:rsidRPr="00007514" w:rsidRDefault="00007514" w:rsidP="00007514">
      <w:pPr>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При оценке показателей 4.5, 4.6, 4.7 учитываются пояснения различий между двумя показателями. На практике в ряде случаев при наличии пояснений отсутствуют расчеты показателя, к которому даются пояснения, или пояснения к разным показателям представлены в одной графе.  В результате непонятно, что именно и по какой причине поясняется. </w:t>
      </w:r>
    </w:p>
    <w:p w14:paraId="117DBAFC" w14:textId="77777777" w:rsidR="00007514" w:rsidRPr="00007514" w:rsidRDefault="00007514" w:rsidP="00007514">
      <w:pPr>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С учетом мониторинга и оценки показателей 4.5, 4.6, 4.7 в 2021 году также предлагается уточнить, что именно следует рассчитывать и пояснять. Тем самым устраняется некоторое несоответствие между наименованиями показателей и требованиями к данным, которые оцениваются.</w:t>
      </w:r>
    </w:p>
    <w:p w14:paraId="1F7B067A" w14:textId="77777777" w:rsidR="00007514" w:rsidRPr="00007514" w:rsidRDefault="00007514" w:rsidP="00007514">
      <w:pPr>
        <w:tabs>
          <w:tab w:val="left" w:pos="1134"/>
        </w:tabs>
        <w:spacing w:after="0" w:line="360" w:lineRule="auto"/>
        <w:ind w:firstLine="709"/>
        <w:jc w:val="both"/>
        <w:rPr>
          <w:rFonts w:ascii="Times New Roman" w:eastAsia="Calibri" w:hAnsi="Times New Roman" w:cs="Arial"/>
          <w:color w:val="000000"/>
          <w:sz w:val="28"/>
          <w:szCs w:val="28"/>
          <w:lang w:eastAsia="ru-RU"/>
        </w:rPr>
      </w:pPr>
      <w:r w:rsidRPr="00007514">
        <w:rPr>
          <w:rFonts w:ascii="Times New Roman" w:eastAsia="Calibri" w:hAnsi="Times New Roman" w:cs="Arial"/>
          <w:color w:val="000000"/>
          <w:sz w:val="28"/>
          <w:szCs w:val="28"/>
          <w:lang w:eastAsia="ru-RU"/>
        </w:rPr>
        <w:t>Предлагаемая редакция показателей 4.5, 4.6, 4.7 (изменения выделены синим цветом):</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007514" w:rsidRPr="00007514" w14:paraId="6762D4BD" w14:textId="77777777" w:rsidTr="00A1680F">
        <w:trPr>
          <w:trHeight w:val="20"/>
        </w:trPr>
        <w:tc>
          <w:tcPr>
            <w:tcW w:w="709" w:type="dxa"/>
            <w:vMerge w:val="restart"/>
            <w:vAlign w:val="center"/>
          </w:tcPr>
          <w:p w14:paraId="4DB44140"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 п/п</w:t>
            </w:r>
          </w:p>
        </w:tc>
        <w:tc>
          <w:tcPr>
            <w:tcW w:w="7088" w:type="dxa"/>
            <w:vMerge w:val="restart"/>
            <w:vAlign w:val="center"/>
          </w:tcPr>
          <w:p w14:paraId="1738004E"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Вопросы и варианты ответов</w:t>
            </w:r>
          </w:p>
        </w:tc>
        <w:tc>
          <w:tcPr>
            <w:tcW w:w="567" w:type="dxa"/>
            <w:vMerge w:val="restart"/>
            <w:textDirection w:val="btLr"/>
            <w:vAlign w:val="center"/>
          </w:tcPr>
          <w:p w14:paraId="5A7071D2" w14:textId="77777777" w:rsidR="00007514" w:rsidRPr="00007514" w:rsidRDefault="00007514" w:rsidP="00007514">
            <w:pPr>
              <w:keepNext/>
              <w:spacing w:before="40" w:after="40" w:line="240" w:lineRule="auto"/>
              <w:ind w:left="113" w:right="113"/>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Баллы</w:t>
            </w:r>
          </w:p>
        </w:tc>
        <w:tc>
          <w:tcPr>
            <w:tcW w:w="1135" w:type="dxa"/>
            <w:gridSpan w:val="2"/>
            <w:tcBorders>
              <w:bottom w:val="single" w:sz="4" w:space="0" w:color="A6A6A6"/>
            </w:tcBorders>
            <w:vAlign w:val="center"/>
          </w:tcPr>
          <w:p w14:paraId="26CB7C0D"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Понижающие коэффициенты</w:t>
            </w:r>
          </w:p>
        </w:tc>
      </w:tr>
      <w:tr w:rsidR="00007514" w:rsidRPr="00007514" w14:paraId="521CE66E" w14:textId="77777777" w:rsidTr="00A1680F">
        <w:trPr>
          <w:trHeight w:val="20"/>
        </w:trPr>
        <w:tc>
          <w:tcPr>
            <w:tcW w:w="709" w:type="dxa"/>
            <w:vMerge/>
            <w:tcBorders>
              <w:bottom w:val="single" w:sz="4" w:space="0" w:color="A6A6A6"/>
            </w:tcBorders>
            <w:vAlign w:val="center"/>
          </w:tcPr>
          <w:p w14:paraId="55884494" w14:textId="77777777" w:rsidR="00007514" w:rsidRPr="00007514" w:rsidRDefault="00007514" w:rsidP="00007514">
            <w:pPr>
              <w:keepNext/>
              <w:spacing w:before="40" w:after="40" w:line="240" w:lineRule="auto"/>
              <w:ind w:firstLine="720"/>
              <w:jc w:val="center"/>
              <w:rPr>
                <w:rFonts w:ascii="Times New Roman" w:eastAsia="Times New Roman" w:hAnsi="Times New Roman" w:cs="Times New Roman"/>
                <w:color w:val="000000"/>
                <w:sz w:val="24"/>
                <w:szCs w:val="24"/>
                <w:lang w:eastAsia="ru-RU"/>
              </w:rPr>
            </w:pPr>
          </w:p>
        </w:tc>
        <w:tc>
          <w:tcPr>
            <w:tcW w:w="7088" w:type="dxa"/>
            <w:vMerge/>
            <w:tcBorders>
              <w:bottom w:val="single" w:sz="4" w:space="0" w:color="A6A6A6"/>
            </w:tcBorders>
            <w:vAlign w:val="center"/>
          </w:tcPr>
          <w:p w14:paraId="67BBCD83" w14:textId="77777777" w:rsidR="00007514" w:rsidRPr="00007514" w:rsidRDefault="00007514" w:rsidP="00007514">
            <w:pPr>
              <w:keepNext/>
              <w:spacing w:before="40" w:after="40" w:line="240" w:lineRule="auto"/>
              <w:ind w:firstLine="720"/>
              <w:jc w:val="both"/>
              <w:rPr>
                <w:rFonts w:ascii="Times New Roman" w:eastAsia="Times New Roman" w:hAnsi="Times New Roman" w:cs="Times New Roman"/>
                <w:caps/>
                <w:color w:val="000000"/>
                <w:sz w:val="24"/>
                <w:szCs w:val="24"/>
                <w:lang w:eastAsia="ru-RU"/>
              </w:rPr>
            </w:pPr>
          </w:p>
        </w:tc>
        <w:tc>
          <w:tcPr>
            <w:tcW w:w="567" w:type="dxa"/>
            <w:vMerge/>
            <w:tcBorders>
              <w:bottom w:val="single" w:sz="4" w:space="0" w:color="A6A6A6"/>
            </w:tcBorders>
            <w:vAlign w:val="center"/>
          </w:tcPr>
          <w:p w14:paraId="2AC7FC13"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p>
        </w:tc>
        <w:tc>
          <w:tcPr>
            <w:tcW w:w="567" w:type="dxa"/>
            <w:tcBorders>
              <w:bottom w:val="single" w:sz="4" w:space="0" w:color="A6A6A6"/>
            </w:tcBorders>
            <w:vAlign w:val="center"/>
          </w:tcPr>
          <w:p w14:paraId="551E2471"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К1</w:t>
            </w:r>
          </w:p>
        </w:tc>
        <w:tc>
          <w:tcPr>
            <w:tcW w:w="568" w:type="dxa"/>
            <w:tcBorders>
              <w:bottom w:val="single" w:sz="4" w:space="0" w:color="A6A6A6"/>
            </w:tcBorders>
            <w:vAlign w:val="center"/>
          </w:tcPr>
          <w:p w14:paraId="0068DE18"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К2</w:t>
            </w:r>
          </w:p>
        </w:tc>
      </w:tr>
      <w:tr w:rsidR="00007514" w:rsidRPr="00007514" w14:paraId="25F6940D" w14:textId="77777777" w:rsidTr="00A1680F">
        <w:trPr>
          <w:trHeight w:val="20"/>
        </w:trPr>
        <w:tc>
          <w:tcPr>
            <w:tcW w:w="709" w:type="dxa"/>
          </w:tcPr>
          <w:p w14:paraId="39C0EE2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4.5</w:t>
            </w:r>
          </w:p>
        </w:tc>
        <w:tc>
          <w:tcPr>
            <w:tcW w:w="7088" w:type="dxa"/>
            <w:vAlign w:val="center"/>
          </w:tcPr>
          <w:p w14:paraId="397CBDAF" w14:textId="77777777" w:rsidR="00007514" w:rsidRPr="00007514" w:rsidRDefault="00007514" w:rsidP="00007514">
            <w:pPr>
              <w:spacing w:before="40" w:after="40" w:line="240" w:lineRule="auto"/>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Содержатся ли в составе материалов к проекту закона об исполнении бюджета за 2021 год сведения о фактических поступлениях доходов по видам доходов в сравнении с первоначально утвержденными (установленными) законом о бюджете значениями и с уточненными значениями с учетом внесенных изменений?</w:t>
            </w:r>
          </w:p>
          <w:p w14:paraId="0185BDEA"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Для оценки показателя должны быть представлены: </w:t>
            </w:r>
          </w:p>
          <w:p w14:paraId="02D37D99" w14:textId="77777777" w:rsidR="00007514" w:rsidRPr="00007514" w:rsidRDefault="00007514" w:rsidP="00007514">
            <w:pPr>
              <w:numPr>
                <w:ilvl w:val="0"/>
                <w:numId w:val="12"/>
              </w:numPr>
              <w:spacing w:before="40" w:after="40" w:line="240" w:lineRule="auto"/>
              <w:ind w:left="317" w:hanging="317"/>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сведения о доходах, первоначально утвержденные (установленные) законом о бюджете; </w:t>
            </w:r>
          </w:p>
          <w:p w14:paraId="068603EB" w14:textId="77777777" w:rsidR="00007514" w:rsidRPr="00007514" w:rsidRDefault="00007514" w:rsidP="00007514">
            <w:pPr>
              <w:numPr>
                <w:ilvl w:val="0"/>
                <w:numId w:val="12"/>
              </w:numPr>
              <w:spacing w:before="40" w:after="40" w:line="240" w:lineRule="auto"/>
              <w:ind w:left="317" w:hanging="317"/>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уточненные значения с учетом внесенных изменений (в случае внесения изменений); </w:t>
            </w:r>
          </w:p>
          <w:p w14:paraId="5E510939" w14:textId="77777777" w:rsidR="00007514" w:rsidRPr="00007514" w:rsidRDefault="00007514" w:rsidP="00007514">
            <w:pPr>
              <w:numPr>
                <w:ilvl w:val="0"/>
                <w:numId w:val="12"/>
              </w:numPr>
              <w:spacing w:before="40" w:after="40" w:line="240" w:lineRule="auto"/>
              <w:ind w:left="317" w:hanging="317"/>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фактические значения.</w:t>
            </w:r>
          </w:p>
          <w:p w14:paraId="65DBBFC5"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Если указанные требования не выполняются, оценка показателя принимает значение ноль баллов. </w:t>
            </w:r>
          </w:p>
          <w:p w14:paraId="3A58D729"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Для оценки показателя как минимум должны быть указаны виды доходов по статьям доходов для 1, 3, 5, 6 и 7 подгрупп 1 группы и для 2 подгруппы 2 группы классификации доходов бюджетов. Допускается не детализировать по статьям сведения о доходах 5 и 7 подгрупп 1 группы классификации доходов бюджета в случае, если доля доходов соответствующей подгруппы составляет менее 5 % налоговых и неналоговых доходов бюджета. </w:t>
            </w:r>
          </w:p>
          <w:p w14:paraId="7D431DA0"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lastRenderedPageBreak/>
              <w:t xml:space="preserve">Для максимальной оценки показателя должны быть также представлены: </w:t>
            </w:r>
          </w:p>
          <w:p w14:paraId="12D48C3F" w14:textId="77777777" w:rsidR="00007514" w:rsidRPr="00007514" w:rsidRDefault="00007514" w:rsidP="00007514">
            <w:pPr>
              <w:numPr>
                <w:ilvl w:val="0"/>
                <w:numId w:val="14"/>
              </w:numPr>
              <w:tabs>
                <w:tab w:val="left" w:pos="317"/>
              </w:tabs>
              <w:spacing w:before="40" w:after="40" w:line="240" w:lineRule="auto"/>
              <w:ind w:left="317" w:hanging="283"/>
              <w:contextualSpacing/>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процент исполнения первоначального плана и пояснения различий между первоначально утвержденными (установленными) показателями доходов и их фактическими значениями в случаях, если такие отклонения составили 5 % и более как в большую, так и в меньшую сторону;</w:t>
            </w:r>
          </w:p>
          <w:p w14:paraId="7F150FF2" w14:textId="77777777" w:rsidR="00007514" w:rsidRPr="00007514" w:rsidRDefault="00007514" w:rsidP="00007514">
            <w:pPr>
              <w:numPr>
                <w:ilvl w:val="0"/>
                <w:numId w:val="14"/>
              </w:numPr>
              <w:tabs>
                <w:tab w:val="left" w:pos="317"/>
              </w:tabs>
              <w:spacing w:before="40" w:after="40" w:line="240" w:lineRule="auto"/>
              <w:ind w:left="317" w:hanging="283"/>
              <w:contextualSpacing/>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 xml:space="preserve">процент исполнения уточненного плана и пояснения различий между уточненными плановыми показателями доходов и их фактическими значениями в случаях, если такие отклонения составили 5 % и более как в большую, так и в меньшую сторону. </w:t>
            </w:r>
          </w:p>
          <w:p w14:paraId="6611A68E"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70C0"/>
                <w:sz w:val="24"/>
                <w:szCs w:val="24"/>
                <w:lang w:eastAsia="ru-RU"/>
              </w:rPr>
              <w:t>Если пояснения различий между первоначально утвержденными (установленными) показателями доходов и их фактическими значениями и пояснения различий между уточненными плановыми показателями доходов и их фактическими значениями представлены в одной графе, применяется понижающий коэффициент, используемый</w:t>
            </w:r>
            <w:r w:rsidRPr="00007514">
              <w:rPr>
                <w:rFonts w:ascii="Times New Roman" w:eastAsia="Calibri" w:hAnsi="Times New Roman" w:cs="Times New Roman"/>
                <w:color w:val="0070C0"/>
                <w:sz w:val="24"/>
                <w:szCs w:val="24"/>
              </w:rPr>
              <w:t xml:space="preserve"> в связи с представлением данных в неструктурированном виде и (или) в форматах, затрудняющих их поиск и (или) использование (К2).</w:t>
            </w:r>
          </w:p>
        </w:tc>
        <w:tc>
          <w:tcPr>
            <w:tcW w:w="567" w:type="dxa"/>
          </w:tcPr>
          <w:p w14:paraId="4E2F884D"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lastRenderedPageBreak/>
              <w:t> </w:t>
            </w:r>
          </w:p>
        </w:tc>
        <w:tc>
          <w:tcPr>
            <w:tcW w:w="567" w:type="dxa"/>
          </w:tcPr>
          <w:p w14:paraId="108CCF56"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567" w:type="dxa"/>
          </w:tcPr>
          <w:p w14:paraId="04FAD629"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r>
      <w:tr w:rsidR="00007514" w:rsidRPr="00007514" w14:paraId="2D854337" w14:textId="77777777" w:rsidTr="00A1680F">
        <w:trPr>
          <w:trHeight w:val="20"/>
        </w:trPr>
        <w:tc>
          <w:tcPr>
            <w:tcW w:w="709" w:type="dxa"/>
          </w:tcPr>
          <w:p w14:paraId="7F9A7030"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r w:rsidRPr="00007514">
              <w:rPr>
                <w:rFonts w:ascii="Times New Roman" w:eastAsia="Calibri" w:hAnsi="Times New Roman" w:cs="Times New Roman"/>
                <w:b/>
                <w:bCs/>
                <w:color w:val="000000"/>
                <w:sz w:val="24"/>
                <w:szCs w:val="24"/>
                <w:lang w:eastAsia="ru-RU"/>
              </w:rPr>
              <w:t> </w:t>
            </w:r>
          </w:p>
        </w:tc>
        <w:tc>
          <w:tcPr>
            <w:tcW w:w="7088" w:type="dxa"/>
            <w:vAlign w:val="center"/>
          </w:tcPr>
          <w:p w14:paraId="62CEEDDA" w14:textId="77777777" w:rsidR="00007514" w:rsidRPr="00007514" w:rsidRDefault="00007514" w:rsidP="00007514">
            <w:pPr>
              <w:spacing w:before="40" w:after="40" w:line="240" w:lineRule="auto"/>
              <w:ind w:left="176"/>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Да, содержатся, в том числе </w:t>
            </w:r>
            <w:r w:rsidRPr="00007514">
              <w:rPr>
                <w:rFonts w:ascii="Times New Roman" w:eastAsia="Calibri" w:hAnsi="Times New Roman" w:cs="Times New Roman"/>
                <w:i/>
                <w:color w:val="0070C0"/>
                <w:sz w:val="24"/>
                <w:szCs w:val="24"/>
                <w:lang w:eastAsia="ru-RU"/>
              </w:rPr>
              <w:t>расчеты исполнения первоначального и уточненного плана и пояснения к ним</w:t>
            </w:r>
          </w:p>
        </w:tc>
        <w:tc>
          <w:tcPr>
            <w:tcW w:w="567" w:type="dxa"/>
            <w:vAlign w:val="center"/>
          </w:tcPr>
          <w:p w14:paraId="3787AD52"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2</w:t>
            </w:r>
          </w:p>
        </w:tc>
        <w:tc>
          <w:tcPr>
            <w:tcW w:w="567" w:type="dxa"/>
            <w:vAlign w:val="center"/>
          </w:tcPr>
          <w:p w14:paraId="6B10F68E"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04CFA8A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34D6D86A" w14:textId="77777777" w:rsidTr="00A1680F">
        <w:trPr>
          <w:trHeight w:val="20"/>
        </w:trPr>
        <w:tc>
          <w:tcPr>
            <w:tcW w:w="709" w:type="dxa"/>
          </w:tcPr>
          <w:p w14:paraId="6C707230"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c>
          <w:tcPr>
            <w:tcW w:w="7088" w:type="dxa"/>
            <w:vAlign w:val="center"/>
          </w:tcPr>
          <w:p w14:paraId="30D99A24" w14:textId="77777777" w:rsidR="00007514" w:rsidRPr="00007514" w:rsidRDefault="00007514" w:rsidP="00007514">
            <w:pPr>
              <w:spacing w:before="40" w:after="40" w:line="240" w:lineRule="auto"/>
              <w:ind w:left="176"/>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Да, содержатся, но без </w:t>
            </w:r>
            <w:r w:rsidRPr="00007514">
              <w:rPr>
                <w:rFonts w:ascii="Times New Roman" w:eastAsia="Calibri" w:hAnsi="Times New Roman" w:cs="Times New Roman"/>
                <w:i/>
                <w:color w:val="0070C0"/>
                <w:sz w:val="24"/>
                <w:szCs w:val="24"/>
                <w:lang w:eastAsia="ru-RU"/>
              </w:rPr>
              <w:t xml:space="preserve">расчетов исполнения первоначального и уточненного плана и (или) пояснений к ним </w:t>
            </w:r>
          </w:p>
        </w:tc>
        <w:tc>
          <w:tcPr>
            <w:tcW w:w="567" w:type="dxa"/>
            <w:vAlign w:val="center"/>
          </w:tcPr>
          <w:p w14:paraId="26FB36EA"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1</w:t>
            </w:r>
          </w:p>
        </w:tc>
        <w:tc>
          <w:tcPr>
            <w:tcW w:w="567" w:type="dxa"/>
            <w:vAlign w:val="center"/>
          </w:tcPr>
          <w:p w14:paraId="0E766EB3"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70818BA3"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1C200F59" w14:textId="77777777" w:rsidTr="00A1680F">
        <w:trPr>
          <w:trHeight w:val="20"/>
        </w:trPr>
        <w:tc>
          <w:tcPr>
            <w:tcW w:w="709" w:type="dxa"/>
          </w:tcPr>
          <w:p w14:paraId="31391913"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r w:rsidRPr="00007514">
              <w:rPr>
                <w:rFonts w:ascii="Times New Roman" w:eastAsia="Calibri" w:hAnsi="Times New Roman" w:cs="Times New Roman"/>
                <w:b/>
                <w:bCs/>
                <w:color w:val="000000"/>
                <w:sz w:val="24"/>
                <w:szCs w:val="24"/>
                <w:lang w:eastAsia="ru-RU"/>
              </w:rPr>
              <w:t> </w:t>
            </w:r>
          </w:p>
        </w:tc>
        <w:tc>
          <w:tcPr>
            <w:tcW w:w="7088" w:type="dxa"/>
            <w:vAlign w:val="center"/>
          </w:tcPr>
          <w:p w14:paraId="7683BB13" w14:textId="77777777" w:rsidR="00007514" w:rsidRPr="00007514" w:rsidRDefault="00007514" w:rsidP="00007514">
            <w:pPr>
              <w:spacing w:before="40" w:after="40" w:line="240" w:lineRule="auto"/>
              <w:ind w:left="176"/>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Нет, в установленные сроки не содержатся или не отвечают требованиям</w:t>
            </w:r>
          </w:p>
        </w:tc>
        <w:tc>
          <w:tcPr>
            <w:tcW w:w="567" w:type="dxa"/>
            <w:vAlign w:val="center"/>
          </w:tcPr>
          <w:p w14:paraId="36ACCB8D"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w:t>
            </w:r>
          </w:p>
        </w:tc>
        <w:tc>
          <w:tcPr>
            <w:tcW w:w="567" w:type="dxa"/>
            <w:vAlign w:val="center"/>
          </w:tcPr>
          <w:p w14:paraId="1E09BF9C"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r w:rsidRPr="00007514">
              <w:rPr>
                <w:rFonts w:ascii="Times New Roman" w:eastAsia="Calibri" w:hAnsi="Times New Roman" w:cs="Times New Roman"/>
                <w:bCs/>
                <w:color w:val="000000"/>
                <w:sz w:val="24"/>
                <w:szCs w:val="24"/>
                <w:lang w:eastAsia="ru-RU"/>
              </w:rPr>
              <w:t> </w:t>
            </w:r>
          </w:p>
        </w:tc>
        <w:tc>
          <w:tcPr>
            <w:tcW w:w="567" w:type="dxa"/>
            <w:vAlign w:val="center"/>
          </w:tcPr>
          <w:p w14:paraId="77087FE9"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r>
      <w:tr w:rsidR="00007514" w:rsidRPr="00007514" w14:paraId="0D0C998E" w14:textId="77777777" w:rsidTr="00A1680F">
        <w:trPr>
          <w:trHeight w:val="20"/>
        </w:trPr>
        <w:tc>
          <w:tcPr>
            <w:tcW w:w="709" w:type="dxa"/>
          </w:tcPr>
          <w:p w14:paraId="14F98CFF"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4.6</w:t>
            </w:r>
          </w:p>
        </w:tc>
        <w:tc>
          <w:tcPr>
            <w:tcW w:w="7088" w:type="dxa"/>
            <w:vAlign w:val="center"/>
          </w:tcPr>
          <w:p w14:paraId="44A2C6F0" w14:textId="77777777" w:rsidR="00007514" w:rsidRPr="00007514" w:rsidRDefault="00007514" w:rsidP="00007514">
            <w:pPr>
              <w:spacing w:before="40" w:after="40" w:line="240" w:lineRule="auto"/>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Содержатся ли в составе материалов к проекту закона об исполнении бюджета за 2021 год сведения о фактически произведенных расходах по разделам и подразделам классификации расходов бюджетов в сравнении с первоначально утвержденными законом о бюджете значениями и с уточненными значениями с учетом внесенных изменений?</w:t>
            </w:r>
          </w:p>
          <w:p w14:paraId="33B6B6C9"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Для оценки показателя должны быть представлены сведения о расходах по разделам и подразделам классификации расходов бюджетов: </w:t>
            </w:r>
          </w:p>
          <w:p w14:paraId="038F0F72" w14:textId="77777777" w:rsidR="00007514" w:rsidRPr="00007514" w:rsidRDefault="00007514" w:rsidP="00007514">
            <w:pPr>
              <w:numPr>
                <w:ilvl w:val="0"/>
                <w:numId w:val="13"/>
              </w:numPr>
              <w:tabs>
                <w:tab w:val="left" w:pos="413"/>
              </w:tabs>
              <w:spacing w:before="40" w:after="40" w:line="240" w:lineRule="auto"/>
              <w:ind w:left="34"/>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первоначально утвержденные законом о бюджете; </w:t>
            </w:r>
          </w:p>
          <w:p w14:paraId="22503466" w14:textId="77777777" w:rsidR="00007514" w:rsidRPr="00007514" w:rsidRDefault="00007514" w:rsidP="00007514">
            <w:pPr>
              <w:numPr>
                <w:ilvl w:val="0"/>
                <w:numId w:val="13"/>
              </w:numPr>
              <w:tabs>
                <w:tab w:val="left" w:pos="413"/>
              </w:tabs>
              <w:spacing w:before="40" w:after="40" w:line="240" w:lineRule="auto"/>
              <w:ind w:left="34"/>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уточненные значения с учетом внесенных изменений (в случае внесения изменений); </w:t>
            </w:r>
          </w:p>
          <w:p w14:paraId="79F6F86E" w14:textId="77777777" w:rsidR="00007514" w:rsidRPr="00007514" w:rsidRDefault="00007514" w:rsidP="00007514">
            <w:pPr>
              <w:numPr>
                <w:ilvl w:val="0"/>
                <w:numId w:val="13"/>
              </w:numPr>
              <w:tabs>
                <w:tab w:val="left" w:pos="413"/>
              </w:tabs>
              <w:spacing w:before="40" w:after="40" w:line="240" w:lineRule="auto"/>
              <w:ind w:left="34"/>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фактические значения.</w:t>
            </w:r>
          </w:p>
          <w:p w14:paraId="12A589D4"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Если указанные требования не выполняются, оценка показателя принимает значение ноль баллов.</w:t>
            </w:r>
          </w:p>
          <w:p w14:paraId="73A532D9"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Для максимальной оценки показателя должны быть также представлены: </w:t>
            </w:r>
          </w:p>
          <w:p w14:paraId="239CAED0" w14:textId="77777777" w:rsidR="00007514" w:rsidRPr="00007514" w:rsidRDefault="00007514" w:rsidP="00007514">
            <w:pPr>
              <w:numPr>
                <w:ilvl w:val="0"/>
                <w:numId w:val="15"/>
              </w:numPr>
              <w:tabs>
                <w:tab w:val="left" w:pos="308"/>
              </w:tabs>
              <w:spacing w:before="40" w:after="40" w:line="240" w:lineRule="auto"/>
              <w:ind w:left="317" w:hanging="317"/>
              <w:contextualSpacing/>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процент исполнения первоначального плана и пояснения различий между первоначально утвержденными показателями расходов и их фактическими значениями в случаях, если такие отклонения составили 5 % и более как в большую, так и в меньшую сторону;</w:t>
            </w:r>
          </w:p>
          <w:p w14:paraId="4CEB1E54" w14:textId="77777777" w:rsidR="00007514" w:rsidRPr="00007514" w:rsidRDefault="00007514" w:rsidP="00007514">
            <w:pPr>
              <w:numPr>
                <w:ilvl w:val="0"/>
                <w:numId w:val="15"/>
              </w:numPr>
              <w:tabs>
                <w:tab w:val="left" w:pos="308"/>
              </w:tabs>
              <w:spacing w:before="40" w:after="40" w:line="240" w:lineRule="auto"/>
              <w:ind w:left="317" w:hanging="317"/>
              <w:contextualSpacing/>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lastRenderedPageBreak/>
              <w:t>процент исполнения уточненного плана и пояснения различий между уточненными плановыми показателями расходов и их фактическими значениями в случаях, если такие отклонения составили 5 % и более как в большую, так и в меньшую сторону.</w:t>
            </w:r>
          </w:p>
          <w:p w14:paraId="72F76244"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70C0"/>
                <w:sz w:val="24"/>
                <w:szCs w:val="24"/>
                <w:lang w:eastAsia="ru-RU"/>
              </w:rPr>
              <w:t>Если пояснения различий между первоначально утвержденными показателями расходов и их фактическими значениями и пояснения различий между уточненными плановыми показателями расходов и их фактическими значениями представлены в одной графе, применяется понижающий коэффициент, используемый</w:t>
            </w:r>
            <w:r w:rsidRPr="00007514">
              <w:rPr>
                <w:rFonts w:ascii="Times New Roman" w:eastAsia="Calibri" w:hAnsi="Times New Roman" w:cs="Times New Roman"/>
                <w:color w:val="0070C0"/>
                <w:sz w:val="24"/>
                <w:szCs w:val="24"/>
              </w:rPr>
              <w:t xml:space="preserve"> в связи с представлением данных в неструктурированном виде и (или) в форматах, затрудняющих их поиск и (или) использование (К2).</w:t>
            </w:r>
          </w:p>
        </w:tc>
        <w:tc>
          <w:tcPr>
            <w:tcW w:w="567" w:type="dxa"/>
          </w:tcPr>
          <w:p w14:paraId="1781BE2C"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lastRenderedPageBreak/>
              <w:t> </w:t>
            </w:r>
          </w:p>
        </w:tc>
        <w:tc>
          <w:tcPr>
            <w:tcW w:w="567" w:type="dxa"/>
          </w:tcPr>
          <w:p w14:paraId="67694E03"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567" w:type="dxa"/>
          </w:tcPr>
          <w:p w14:paraId="4DE2B37D"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r>
      <w:tr w:rsidR="00007514" w:rsidRPr="00007514" w14:paraId="0F5744F0" w14:textId="77777777" w:rsidTr="00A1680F">
        <w:trPr>
          <w:trHeight w:val="20"/>
        </w:trPr>
        <w:tc>
          <w:tcPr>
            <w:tcW w:w="709" w:type="dxa"/>
          </w:tcPr>
          <w:p w14:paraId="376B999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7088" w:type="dxa"/>
            <w:vAlign w:val="center"/>
          </w:tcPr>
          <w:p w14:paraId="35EF9710" w14:textId="77777777" w:rsidR="00007514" w:rsidRPr="00007514" w:rsidRDefault="00007514" w:rsidP="00007514">
            <w:pPr>
              <w:spacing w:before="40" w:after="40" w:line="240" w:lineRule="auto"/>
              <w:ind w:left="175" w:firstLine="1"/>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Да, содержатся, в том числе </w:t>
            </w:r>
            <w:r w:rsidRPr="00007514">
              <w:rPr>
                <w:rFonts w:ascii="Times New Roman" w:eastAsia="Calibri" w:hAnsi="Times New Roman" w:cs="Times New Roman"/>
                <w:i/>
                <w:color w:val="0070C0"/>
                <w:sz w:val="24"/>
                <w:szCs w:val="24"/>
                <w:lang w:eastAsia="ru-RU"/>
              </w:rPr>
              <w:t>расчеты исполнения первоначального и уточненного плана и пояснения к ним</w:t>
            </w:r>
          </w:p>
        </w:tc>
        <w:tc>
          <w:tcPr>
            <w:tcW w:w="567" w:type="dxa"/>
            <w:vAlign w:val="center"/>
          </w:tcPr>
          <w:p w14:paraId="4383018D"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2</w:t>
            </w:r>
          </w:p>
        </w:tc>
        <w:tc>
          <w:tcPr>
            <w:tcW w:w="567" w:type="dxa"/>
            <w:vAlign w:val="center"/>
          </w:tcPr>
          <w:p w14:paraId="13DF55AB"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79E6339F"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186E99C2" w14:textId="77777777" w:rsidTr="00A1680F">
        <w:trPr>
          <w:trHeight w:val="20"/>
        </w:trPr>
        <w:tc>
          <w:tcPr>
            <w:tcW w:w="709" w:type="dxa"/>
          </w:tcPr>
          <w:p w14:paraId="21FC6D80"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c>
          <w:tcPr>
            <w:tcW w:w="7088" w:type="dxa"/>
            <w:vAlign w:val="center"/>
          </w:tcPr>
          <w:p w14:paraId="6C0197D2" w14:textId="77777777" w:rsidR="00007514" w:rsidRPr="00007514" w:rsidRDefault="00007514" w:rsidP="00007514">
            <w:pPr>
              <w:spacing w:before="40" w:after="40" w:line="240" w:lineRule="auto"/>
              <w:ind w:left="175" w:firstLine="1"/>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Да, содержатся, но без </w:t>
            </w:r>
            <w:r w:rsidRPr="00007514">
              <w:rPr>
                <w:rFonts w:ascii="Times New Roman" w:eastAsia="Calibri" w:hAnsi="Times New Roman" w:cs="Times New Roman"/>
                <w:i/>
                <w:color w:val="0070C0"/>
                <w:sz w:val="24"/>
                <w:szCs w:val="24"/>
                <w:lang w:eastAsia="ru-RU"/>
              </w:rPr>
              <w:t>расчетов исполнения первоначального и уточненного плана и (или) пояснений к ним</w:t>
            </w:r>
          </w:p>
        </w:tc>
        <w:tc>
          <w:tcPr>
            <w:tcW w:w="567" w:type="dxa"/>
            <w:vAlign w:val="center"/>
          </w:tcPr>
          <w:p w14:paraId="142A48B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1</w:t>
            </w:r>
          </w:p>
        </w:tc>
        <w:tc>
          <w:tcPr>
            <w:tcW w:w="567" w:type="dxa"/>
            <w:vAlign w:val="center"/>
          </w:tcPr>
          <w:p w14:paraId="3533ED25"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241D706C"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57FFCA89" w14:textId="77777777" w:rsidTr="00A1680F">
        <w:trPr>
          <w:trHeight w:val="20"/>
        </w:trPr>
        <w:tc>
          <w:tcPr>
            <w:tcW w:w="709" w:type="dxa"/>
          </w:tcPr>
          <w:p w14:paraId="660D55A1"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7088" w:type="dxa"/>
            <w:vAlign w:val="center"/>
          </w:tcPr>
          <w:p w14:paraId="289AFD7F" w14:textId="77777777" w:rsidR="00007514" w:rsidRPr="00007514" w:rsidRDefault="00007514" w:rsidP="00007514">
            <w:pPr>
              <w:spacing w:before="40" w:after="40" w:line="240" w:lineRule="auto"/>
              <w:ind w:left="175" w:firstLine="1"/>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Нет, в установленные сроки не содержатся или не отвечают требованиям</w:t>
            </w:r>
          </w:p>
        </w:tc>
        <w:tc>
          <w:tcPr>
            <w:tcW w:w="567" w:type="dxa"/>
            <w:vAlign w:val="center"/>
          </w:tcPr>
          <w:p w14:paraId="5CFBBC37"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w:t>
            </w:r>
          </w:p>
        </w:tc>
        <w:tc>
          <w:tcPr>
            <w:tcW w:w="567" w:type="dxa"/>
            <w:vAlign w:val="center"/>
          </w:tcPr>
          <w:p w14:paraId="407063F8"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567" w:type="dxa"/>
            <w:vAlign w:val="center"/>
          </w:tcPr>
          <w:p w14:paraId="32B800B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r>
      <w:tr w:rsidR="00007514" w:rsidRPr="00007514" w14:paraId="52B46D4F" w14:textId="77777777" w:rsidTr="00A1680F">
        <w:trPr>
          <w:trHeight w:val="20"/>
        </w:trPr>
        <w:tc>
          <w:tcPr>
            <w:tcW w:w="709" w:type="dxa"/>
          </w:tcPr>
          <w:p w14:paraId="0B09DF1C"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4.7 </w:t>
            </w:r>
          </w:p>
        </w:tc>
        <w:tc>
          <w:tcPr>
            <w:tcW w:w="7088" w:type="dxa"/>
            <w:vAlign w:val="center"/>
          </w:tcPr>
          <w:p w14:paraId="14C0F9E2" w14:textId="77777777" w:rsidR="00007514" w:rsidRPr="00007514" w:rsidRDefault="00007514" w:rsidP="00007514">
            <w:pPr>
              <w:spacing w:before="40" w:after="40" w:line="240" w:lineRule="auto"/>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Содержатся ли в составе материалов к проекту закона об исполнении бюджета за 2021 год сведения о фактически произведенных расходах на реализацию государственных программ и непрограммных направлений деятельности в сравнении с первоначально утвержденными законом о бюджете значениями и с уточненными значениями с учетом внесенных изменений?</w:t>
            </w:r>
          </w:p>
          <w:p w14:paraId="4A3F1C3B"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Для оценки показателя должны быть представлены сведения о расходах на реализацию государственных программ и непрограммных направлений деятельности: </w:t>
            </w:r>
          </w:p>
          <w:p w14:paraId="722AE80F" w14:textId="77777777" w:rsidR="00007514" w:rsidRPr="00007514" w:rsidRDefault="00007514" w:rsidP="00007514">
            <w:pPr>
              <w:numPr>
                <w:ilvl w:val="0"/>
                <w:numId w:val="5"/>
              </w:numPr>
              <w:tabs>
                <w:tab w:val="left" w:pos="317"/>
              </w:tabs>
              <w:spacing w:before="40" w:after="40" w:line="240" w:lineRule="auto"/>
              <w:ind w:left="317" w:hanging="283"/>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первоначально утвержденных законом о бюджете; </w:t>
            </w:r>
          </w:p>
          <w:p w14:paraId="7315857A" w14:textId="77777777" w:rsidR="00007514" w:rsidRPr="00007514" w:rsidRDefault="00007514" w:rsidP="00007514">
            <w:pPr>
              <w:numPr>
                <w:ilvl w:val="0"/>
                <w:numId w:val="5"/>
              </w:numPr>
              <w:tabs>
                <w:tab w:val="left" w:pos="317"/>
              </w:tabs>
              <w:spacing w:before="40" w:after="40" w:line="240" w:lineRule="auto"/>
              <w:ind w:left="317" w:hanging="283"/>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уточненных значениях с учетом внесенных изменений (в случае внесения изменений); </w:t>
            </w:r>
          </w:p>
          <w:p w14:paraId="1BAE873E" w14:textId="77777777" w:rsidR="00007514" w:rsidRPr="00007514" w:rsidRDefault="00007514" w:rsidP="00007514">
            <w:pPr>
              <w:numPr>
                <w:ilvl w:val="0"/>
                <w:numId w:val="5"/>
              </w:numPr>
              <w:tabs>
                <w:tab w:val="left" w:pos="317"/>
              </w:tabs>
              <w:spacing w:before="40" w:after="40" w:line="240" w:lineRule="auto"/>
              <w:ind w:left="317" w:hanging="283"/>
              <w:contextualSpacing/>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фактических значениях. </w:t>
            </w:r>
          </w:p>
          <w:p w14:paraId="11871AFC"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Если указанные требования не выполняются, оценка показателя принимает значение ноль баллов.</w:t>
            </w:r>
          </w:p>
          <w:p w14:paraId="0722F7A3"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Для максимальной оценки показателя должны быть также представлены: </w:t>
            </w:r>
          </w:p>
          <w:p w14:paraId="6382E3A2" w14:textId="77777777" w:rsidR="00007514" w:rsidRPr="00007514" w:rsidRDefault="00007514" w:rsidP="00007514">
            <w:pPr>
              <w:numPr>
                <w:ilvl w:val="0"/>
                <w:numId w:val="16"/>
              </w:numPr>
              <w:spacing w:before="40" w:after="40" w:line="240" w:lineRule="auto"/>
              <w:ind w:left="317" w:hanging="317"/>
              <w:contextualSpacing/>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процент исполнения первоначального плана и пояснения различий между первоначально утвержденными показателями расходов и их фактическими значениями в случаях, если такие отклонения составили 5 % и более как в большую, так и в меньшую сторону;</w:t>
            </w:r>
          </w:p>
          <w:p w14:paraId="2F639944" w14:textId="77777777" w:rsidR="00007514" w:rsidRPr="00007514" w:rsidRDefault="00007514" w:rsidP="00007514">
            <w:pPr>
              <w:numPr>
                <w:ilvl w:val="0"/>
                <w:numId w:val="16"/>
              </w:numPr>
              <w:spacing w:before="40" w:after="40" w:line="240" w:lineRule="auto"/>
              <w:ind w:left="317" w:hanging="317"/>
              <w:contextualSpacing/>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процент исполнения уточненного плана и пояснения различий между уточненными плановыми показателями расходов и их фактическими значениями в случаях, если такие отклонения составили 5 % и более как в большую, так и в меньшую сторону.</w:t>
            </w:r>
          </w:p>
          <w:p w14:paraId="1AFB9042" w14:textId="77777777" w:rsidR="00007514" w:rsidRPr="00007514" w:rsidRDefault="00007514" w:rsidP="00007514">
            <w:pPr>
              <w:spacing w:before="40" w:after="40" w:line="240" w:lineRule="auto"/>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Если пояснения различий между первоначально утвержденными показателями расходов и их фактическими значениями и пояснения различий между уточненными плановыми показателями расходов и их фактическими значениями представлены в одной графе, применяется понижающий коэффициент, используемый</w:t>
            </w:r>
            <w:r w:rsidRPr="00007514">
              <w:rPr>
                <w:rFonts w:ascii="Times New Roman" w:eastAsia="Calibri" w:hAnsi="Times New Roman" w:cs="Times New Roman"/>
                <w:color w:val="0070C0"/>
                <w:sz w:val="24"/>
                <w:szCs w:val="24"/>
              </w:rPr>
              <w:t xml:space="preserve"> в </w:t>
            </w:r>
            <w:r w:rsidRPr="00007514">
              <w:rPr>
                <w:rFonts w:ascii="Times New Roman" w:eastAsia="Calibri" w:hAnsi="Times New Roman" w:cs="Times New Roman"/>
                <w:color w:val="0070C0"/>
                <w:sz w:val="24"/>
                <w:szCs w:val="24"/>
              </w:rPr>
              <w:lastRenderedPageBreak/>
              <w:t>связи с представлением данных в неструктурированном виде и (или) в форматах, затрудняющих их поиск и (или) использование (К2).</w:t>
            </w:r>
          </w:p>
          <w:p w14:paraId="3FDA038D"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Если сведения детализированы по подпрограммам, то расчеты исполнения первоначального и уточненного плана и пояснения к ним должны быть представлены в разрезе подпрограмм.</w:t>
            </w:r>
          </w:p>
          <w:p w14:paraId="29C70E51"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70C0"/>
                <w:sz w:val="24"/>
                <w:szCs w:val="24"/>
                <w:lang w:eastAsia="ru-RU"/>
              </w:rPr>
              <w:t>В случае непредставления данных о непрограммных видах деятельности (при их наличии) оценка показателя принимает значение ноль баллов.</w:t>
            </w:r>
          </w:p>
        </w:tc>
        <w:tc>
          <w:tcPr>
            <w:tcW w:w="567" w:type="dxa"/>
          </w:tcPr>
          <w:p w14:paraId="547D07F3"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lastRenderedPageBreak/>
              <w:t> </w:t>
            </w:r>
          </w:p>
        </w:tc>
        <w:tc>
          <w:tcPr>
            <w:tcW w:w="567" w:type="dxa"/>
          </w:tcPr>
          <w:p w14:paraId="5BA6DCE7"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567" w:type="dxa"/>
          </w:tcPr>
          <w:p w14:paraId="2B756BC7"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r>
      <w:tr w:rsidR="00007514" w:rsidRPr="00007514" w14:paraId="7A33D14B" w14:textId="77777777" w:rsidTr="00A1680F">
        <w:trPr>
          <w:trHeight w:val="20"/>
        </w:trPr>
        <w:tc>
          <w:tcPr>
            <w:tcW w:w="709" w:type="dxa"/>
          </w:tcPr>
          <w:p w14:paraId="6ED25C7E"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7088" w:type="dxa"/>
            <w:vAlign w:val="center"/>
          </w:tcPr>
          <w:p w14:paraId="17334417" w14:textId="77777777" w:rsidR="00007514" w:rsidRPr="00007514" w:rsidRDefault="00007514" w:rsidP="00007514">
            <w:pPr>
              <w:spacing w:before="40" w:after="40" w:line="240" w:lineRule="auto"/>
              <w:ind w:left="175" w:firstLine="1"/>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Да, содержатся, в том числе </w:t>
            </w:r>
            <w:r w:rsidRPr="00007514">
              <w:rPr>
                <w:rFonts w:ascii="Times New Roman" w:eastAsia="Calibri" w:hAnsi="Times New Roman" w:cs="Times New Roman"/>
                <w:i/>
                <w:color w:val="0070C0"/>
                <w:sz w:val="24"/>
                <w:szCs w:val="24"/>
                <w:lang w:eastAsia="ru-RU"/>
              </w:rPr>
              <w:t xml:space="preserve">расчеты исполнения первоначального и уточненного плана и пояснения к ним </w:t>
            </w:r>
          </w:p>
        </w:tc>
        <w:tc>
          <w:tcPr>
            <w:tcW w:w="567" w:type="dxa"/>
            <w:vAlign w:val="center"/>
          </w:tcPr>
          <w:p w14:paraId="24C7D2A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2</w:t>
            </w:r>
          </w:p>
        </w:tc>
        <w:tc>
          <w:tcPr>
            <w:tcW w:w="567" w:type="dxa"/>
            <w:vAlign w:val="center"/>
          </w:tcPr>
          <w:p w14:paraId="20E89E78"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1714209C"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0A25536A" w14:textId="77777777" w:rsidTr="00A1680F">
        <w:trPr>
          <w:trHeight w:val="20"/>
        </w:trPr>
        <w:tc>
          <w:tcPr>
            <w:tcW w:w="709" w:type="dxa"/>
          </w:tcPr>
          <w:p w14:paraId="30F1152C"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c>
          <w:tcPr>
            <w:tcW w:w="7088" w:type="dxa"/>
            <w:vAlign w:val="center"/>
          </w:tcPr>
          <w:p w14:paraId="2BC5F441" w14:textId="77777777" w:rsidR="00007514" w:rsidRPr="00007514" w:rsidRDefault="00007514" w:rsidP="00007514">
            <w:pPr>
              <w:spacing w:before="40" w:after="40" w:line="240" w:lineRule="auto"/>
              <w:ind w:left="175" w:firstLine="1"/>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Да, содержатся, но </w:t>
            </w:r>
            <w:r w:rsidRPr="00007514">
              <w:rPr>
                <w:rFonts w:ascii="Times New Roman" w:eastAsia="Calibri" w:hAnsi="Times New Roman" w:cs="Times New Roman"/>
                <w:i/>
                <w:color w:val="0070C0"/>
                <w:sz w:val="24"/>
                <w:szCs w:val="24"/>
                <w:lang w:eastAsia="ru-RU"/>
              </w:rPr>
              <w:t>без расчетов исполнения первоначального и уточненного плана и (или) пояснений к ним</w:t>
            </w:r>
          </w:p>
        </w:tc>
        <w:tc>
          <w:tcPr>
            <w:tcW w:w="567" w:type="dxa"/>
            <w:vAlign w:val="center"/>
          </w:tcPr>
          <w:p w14:paraId="64382F16"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1</w:t>
            </w:r>
          </w:p>
        </w:tc>
        <w:tc>
          <w:tcPr>
            <w:tcW w:w="567" w:type="dxa"/>
            <w:vAlign w:val="center"/>
          </w:tcPr>
          <w:p w14:paraId="5A735826"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16099EFF"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5D3171DF" w14:textId="77777777" w:rsidTr="00A1680F">
        <w:trPr>
          <w:trHeight w:val="20"/>
        </w:trPr>
        <w:tc>
          <w:tcPr>
            <w:tcW w:w="709" w:type="dxa"/>
          </w:tcPr>
          <w:p w14:paraId="54FDB48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w:t>
            </w:r>
          </w:p>
        </w:tc>
        <w:tc>
          <w:tcPr>
            <w:tcW w:w="7088" w:type="dxa"/>
            <w:vAlign w:val="center"/>
          </w:tcPr>
          <w:p w14:paraId="24030FD6" w14:textId="77777777" w:rsidR="00007514" w:rsidRPr="00007514" w:rsidRDefault="00007514" w:rsidP="00007514">
            <w:pPr>
              <w:spacing w:before="40" w:after="40" w:line="240" w:lineRule="auto"/>
              <w:ind w:left="175" w:firstLine="1"/>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Нет, в установленные сроки не содержатся или не отвечают требованиям</w:t>
            </w:r>
          </w:p>
        </w:tc>
        <w:tc>
          <w:tcPr>
            <w:tcW w:w="567" w:type="dxa"/>
            <w:vAlign w:val="center"/>
          </w:tcPr>
          <w:p w14:paraId="24833D17"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w:t>
            </w:r>
          </w:p>
        </w:tc>
        <w:tc>
          <w:tcPr>
            <w:tcW w:w="567" w:type="dxa"/>
            <w:vAlign w:val="center"/>
          </w:tcPr>
          <w:p w14:paraId="59CB659C"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r w:rsidRPr="00007514">
              <w:rPr>
                <w:rFonts w:ascii="Times New Roman" w:eastAsia="Calibri" w:hAnsi="Times New Roman" w:cs="Times New Roman"/>
                <w:bCs/>
                <w:color w:val="000000"/>
                <w:sz w:val="24"/>
                <w:szCs w:val="24"/>
                <w:lang w:eastAsia="ru-RU"/>
              </w:rPr>
              <w:t> </w:t>
            </w:r>
          </w:p>
        </w:tc>
        <w:tc>
          <w:tcPr>
            <w:tcW w:w="567" w:type="dxa"/>
            <w:vAlign w:val="center"/>
          </w:tcPr>
          <w:p w14:paraId="6B05EBBC"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r>
    </w:tbl>
    <w:p w14:paraId="4CEA6B7A"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lang w:val="en-US"/>
        </w:rPr>
      </w:pPr>
    </w:p>
    <w:p w14:paraId="61CC403F" w14:textId="77777777" w:rsidR="00E4286C" w:rsidRPr="000B583A" w:rsidRDefault="00007514" w:rsidP="00BC178C">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 4.9</w:t>
      </w:r>
    </w:p>
    <w:p w14:paraId="5829FDA3" w14:textId="351D9562" w:rsidR="00007514" w:rsidRPr="00705767" w:rsidRDefault="00007514" w:rsidP="00E4286C">
      <w:pPr>
        <w:pStyle w:val="a7"/>
        <w:tabs>
          <w:tab w:val="left" w:pos="1276"/>
        </w:tabs>
        <w:snapToGrid w:val="0"/>
        <w:ind w:left="0" w:firstLine="709"/>
        <w:contextualSpacing w:val="0"/>
        <w:rPr>
          <w:rFonts w:eastAsia="Calibri" w:cs="Times New Roman"/>
          <w:bCs/>
          <w:color w:val="000000"/>
          <w:lang w:val="ru-RU"/>
        </w:rPr>
      </w:pPr>
      <w:r w:rsidRPr="00705767">
        <w:rPr>
          <w:rFonts w:eastAsia="Calibri" w:cs="Times New Roman"/>
          <w:bCs/>
          <w:color w:val="000000"/>
          <w:lang w:val="ru-RU"/>
        </w:rPr>
        <w:t xml:space="preserve">Предлагается дополнительно указать на необходимость представления </w:t>
      </w:r>
      <w:r w:rsidRPr="00BC178C">
        <w:rPr>
          <w:rFonts w:eastAsia="Calibri" w:cs="Times New Roman"/>
          <w:bCs/>
          <w:i/>
          <w:iCs/>
          <w:color w:val="000000"/>
          <w:lang w:val="ru-RU"/>
        </w:rPr>
        <w:t>сводных данных</w:t>
      </w:r>
      <w:r w:rsidRPr="00705767">
        <w:rPr>
          <w:rFonts w:eastAsia="Calibri" w:cs="Times New Roman"/>
          <w:bCs/>
          <w:color w:val="000000"/>
          <w:lang w:val="ru-RU"/>
        </w:rPr>
        <w:t xml:space="preserve"> об общем объеме межбюджетных трансфертов, предоставленных из бюджета субъекта Российской Федерации бюджетам муниципальных образований, с детализацией по формам и целевому назначению. </w:t>
      </w:r>
    </w:p>
    <w:p w14:paraId="5DF439A5" w14:textId="74829DF2"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На практике сохраняются случаи, когда сводные данные отсутствуют в составе представленной информации. В результате ценность информации снижается, а регион получает по показателю оценку ноль баллов.</w:t>
      </w:r>
    </w:p>
    <w:p w14:paraId="5D91F039" w14:textId="77777777" w:rsidR="00E4286C" w:rsidRPr="000B583A" w:rsidRDefault="00007514" w:rsidP="00BC178C">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4.12, 4.13</w:t>
      </w:r>
    </w:p>
    <w:p w14:paraId="7D544A33" w14:textId="7DE967E3" w:rsidR="00007514" w:rsidRPr="00705767" w:rsidRDefault="00007514" w:rsidP="00E4286C">
      <w:pPr>
        <w:pStyle w:val="a7"/>
        <w:tabs>
          <w:tab w:val="left" w:pos="1276"/>
        </w:tabs>
        <w:snapToGrid w:val="0"/>
        <w:ind w:left="0" w:firstLine="709"/>
        <w:contextualSpacing w:val="0"/>
        <w:rPr>
          <w:rFonts w:eastAsia="Calibri" w:cs="Times New Roman"/>
          <w:bCs/>
          <w:color w:val="000000"/>
          <w:lang w:val="ru-RU"/>
        </w:rPr>
      </w:pPr>
      <w:r w:rsidRPr="00705767">
        <w:rPr>
          <w:rFonts w:eastAsia="Calibri" w:cs="Times New Roman"/>
          <w:bCs/>
          <w:color w:val="000000"/>
          <w:lang w:val="ru-RU"/>
        </w:rPr>
        <w:t xml:space="preserve">Предлагается уточнить срок надлежащей практики для размещения в открытом доступе заключения органа внешнего государственного финансового контроля и итогового документа (протокола) публичных слушаний (общественных обсуждений) по годовому отчету об исполнении бюджета: не менее чем за пять календарных дней до принятия закона законодательным (представительным) органом, при рассмотрении в субъекте Российской Федерации законопроекта в нескольких чтениях – не менее чем за пять календарных дней до дня рассмотрения законопроекта в первом чтении. </w:t>
      </w:r>
    </w:p>
    <w:p w14:paraId="25AF8FDF"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lastRenderedPageBreak/>
        <w:t xml:space="preserve">Ранее допускалось размещение документов в открытом доступе не позднее дня принятия законопроекта законодательным органом. Для ознакомления с документами требуется время, поэтому срок предлагается увеличить до пяти календарных дней. </w:t>
      </w:r>
    </w:p>
    <w:p w14:paraId="5B2F35E7"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Также предлагается уточнение для случая, когда законопроект рассматривается в нескольких чтениях. Данный подход представляется более логичным для бюджетного процесса. </w:t>
      </w:r>
    </w:p>
    <w:p w14:paraId="3D33BB3B" w14:textId="69619755" w:rsidR="00007514" w:rsidRPr="000B583A" w:rsidRDefault="00E4286C" w:rsidP="00E4286C">
      <w:pPr>
        <w:pStyle w:val="a7"/>
        <w:keepNext/>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4.13, 5.13</w:t>
      </w:r>
      <w:r w:rsidR="00007514" w:rsidRPr="000B583A">
        <w:rPr>
          <w:rFonts w:eastAsia="Calibri" w:cs="Times New Roman"/>
          <w:bCs/>
          <w:color w:val="000000"/>
          <w:lang w:val="ru-RU"/>
        </w:rPr>
        <w:t xml:space="preserve"> </w:t>
      </w:r>
    </w:p>
    <w:p w14:paraId="04A297E2" w14:textId="77777777" w:rsidR="00007514" w:rsidRPr="00007514" w:rsidRDefault="00007514" w:rsidP="00007514">
      <w:pPr>
        <w:numPr>
          <w:ilvl w:val="0"/>
          <w:numId w:val="7"/>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Предлагается распространить запрет, установленный Федеральным законом от 21.07.2014 №</w:t>
      </w:r>
      <w:r w:rsidRPr="00007514">
        <w:rPr>
          <w:rFonts w:ascii="Times New Roman" w:eastAsia="Calibri" w:hAnsi="Times New Roman" w:cs="Times New Roman"/>
          <w:bCs/>
          <w:color w:val="000000"/>
          <w:sz w:val="28"/>
          <w:szCs w:val="28"/>
          <w:lang w:val="en-US"/>
        </w:rPr>
        <w:t> </w:t>
      </w:r>
      <w:r w:rsidRPr="00007514">
        <w:rPr>
          <w:rFonts w:ascii="Times New Roman" w:eastAsia="Calibri" w:hAnsi="Times New Roman" w:cs="Times New Roman"/>
          <w:bCs/>
          <w:color w:val="000000"/>
          <w:sz w:val="28"/>
          <w:szCs w:val="28"/>
        </w:rPr>
        <w:t>212-ФЗ «Об основах общественного контроля в Российской Федерации», на установление ограничений по участию граждан в публичных слушаниях по проекту бюджета и годовому отчету об исполнении бюджета на общественные обсуждения, за исключением случаев, когда общественные обсуждения проводятся с профессиональными группами граждан.</w:t>
      </w:r>
    </w:p>
    <w:p w14:paraId="6CA97D95"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Предложение связано с особенностями правового регулирования проведения публичных слушаний и общественных обсуждений проектов бюджетов субъектов Российской Федерации и годовых отчетов об исполнении бюджетов субъектов Российской Федерации.</w:t>
      </w:r>
    </w:p>
    <w:p w14:paraId="3D43BE15" w14:textId="77777777" w:rsidR="00007514" w:rsidRPr="00007514" w:rsidRDefault="00007514" w:rsidP="00007514">
      <w:pPr>
        <w:numPr>
          <w:ilvl w:val="0"/>
          <w:numId w:val="7"/>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Предлагается увеличить минимальную продолжительность времени с момента анонсирования публичных слушаний (общественных обсуждений) по проекту бюджета и годовому отчету об исполнении бюджета до даты проведения соответствующего мероприятия до пяти календарных дней. </w:t>
      </w:r>
    </w:p>
    <w:p w14:paraId="6ADFF655"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Ранее допускалось анонсирование мероприятия не менее чем за один день до проведения публичных слушаний (общественных обсуждений) по проекту бюджета или годовому отчету об исполнении бюджета. Представляется, что такого срока гражданам недостаточно для планирования участия в мероприятии, особенно если мероприятие проводится в рабочее </w:t>
      </w:r>
      <w:r w:rsidRPr="00007514">
        <w:rPr>
          <w:rFonts w:ascii="Times New Roman" w:eastAsia="Calibri" w:hAnsi="Times New Roman" w:cs="Times New Roman"/>
          <w:bCs/>
          <w:color w:val="000000"/>
          <w:sz w:val="28"/>
          <w:szCs w:val="28"/>
        </w:rPr>
        <w:lastRenderedPageBreak/>
        <w:t xml:space="preserve">время. Предложение направлено на вовлечение большего количества участников в процесс обсуждения бюджетных документов.  </w:t>
      </w:r>
    </w:p>
    <w:p w14:paraId="2CF9F864" w14:textId="77777777" w:rsidR="00007514" w:rsidRPr="00007514" w:rsidRDefault="00007514" w:rsidP="00007514">
      <w:pPr>
        <w:numPr>
          <w:ilvl w:val="0"/>
          <w:numId w:val="7"/>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Предлагается предусмотреть дополнительное требование к анонсированию мероприятия, а именно: если в информационном сообщении (анонсе) о проведении публичных слушаний (общественных обсуждений) не указано место и (или) время проведения мероприятия, а в случае проведения мероприятия в дистанционном формате – способ подключения, оценка показателя составит ноль баллов.</w:t>
      </w:r>
    </w:p>
    <w:p w14:paraId="0CBAE22F" w14:textId="3760AD44"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В связи с изменениями федерального законодательства наряду с публичными слушаниями по проекту бюджета и годовому отчету об исполнении бюджета, которые проводятся в форме собрания граждан, получили широкое распространение общественные обсуждения соответствующих вопросов, которые могут проводит</w:t>
      </w:r>
      <w:r w:rsidR="007A0A2E">
        <w:rPr>
          <w:rFonts w:ascii="Times New Roman" w:eastAsia="Calibri" w:hAnsi="Times New Roman" w:cs="Times New Roman"/>
          <w:bCs/>
          <w:color w:val="000000"/>
          <w:sz w:val="28"/>
          <w:szCs w:val="28"/>
        </w:rPr>
        <w:t>ь</w:t>
      </w:r>
      <w:r w:rsidRPr="00007514">
        <w:rPr>
          <w:rFonts w:ascii="Times New Roman" w:eastAsia="Calibri" w:hAnsi="Times New Roman" w:cs="Times New Roman"/>
          <w:bCs/>
          <w:color w:val="000000"/>
          <w:sz w:val="28"/>
          <w:szCs w:val="28"/>
        </w:rPr>
        <w:t>ся в различных формах, в том числе дистанционных. В этих условиях встречаются случаи, когда информационные сообщения (анонсы) о проведении мероприятий не содержат сведений о том, каким образом подключиться к мероприятию (например, ссылку на конференцию). Также встречаются случаи, когда информационные сообщения (анонсы) о проведении публичных слушаний (общественных обсуждений) в очной форме не содержат конкретного места и (или) времени проведения мероприятия. Такие информационные сообщения (анонсы) не дают понимания, как принять участие в мероприятии и, по сути, анонсами не являются.</w:t>
      </w:r>
    </w:p>
    <w:p w14:paraId="35D4F118" w14:textId="77777777" w:rsidR="00E4286C" w:rsidRPr="000B583A" w:rsidRDefault="00007514" w:rsidP="003C328E">
      <w:pPr>
        <w:pStyle w:val="a7"/>
        <w:numPr>
          <w:ilvl w:val="1"/>
          <w:numId w:val="18"/>
        </w:numPr>
        <w:tabs>
          <w:tab w:val="left" w:pos="1276"/>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5.12, 5.13</w:t>
      </w:r>
    </w:p>
    <w:p w14:paraId="7883CDFB" w14:textId="165993F7" w:rsidR="00007514" w:rsidRPr="00705767" w:rsidRDefault="00007514" w:rsidP="00E4286C">
      <w:pPr>
        <w:pStyle w:val="a7"/>
        <w:tabs>
          <w:tab w:val="left" w:pos="1276"/>
        </w:tabs>
        <w:snapToGrid w:val="0"/>
        <w:ind w:left="0" w:firstLine="709"/>
        <w:contextualSpacing w:val="0"/>
        <w:rPr>
          <w:rFonts w:eastAsia="Calibri" w:cs="Times New Roman"/>
          <w:bCs/>
          <w:color w:val="000000"/>
          <w:lang w:val="ru-RU"/>
        </w:rPr>
      </w:pPr>
      <w:r w:rsidRPr="00705767">
        <w:rPr>
          <w:rFonts w:eastAsia="Calibri" w:cs="Times New Roman"/>
          <w:bCs/>
          <w:color w:val="000000"/>
          <w:lang w:val="ru-RU"/>
        </w:rPr>
        <w:t xml:space="preserve">Предлагается уточнить срок надлежащей практики для размещения в открытом доступе заключения органа внешнего государственного финансового контроля и итогового документа (протокола) публичных слушаний (общественных обсуждений) по проекту бюджета: не менее чем за пять календарных дней до дня рассмотрения законопроекта в первом чтении. </w:t>
      </w:r>
    </w:p>
    <w:p w14:paraId="73821D20"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lastRenderedPageBreak/>
        <w:t>Ранее допускалось размещение в открытом доступе заключения органа внешнего государственного финансового контроля по проекту бюджета не позднее дня рассмотрения проекта закона о бюджете законодательным (представительным) органом в первом чтении, итогового документа (протокола) публичных слушаний (общественных обсуждений) по проекту бюджета – не позднее дня рассмотрения проекта закона о бюджете законодательным (представительным) органом во втором чтении.</w:t>
      </w:r>
    </w:p>
    <w:p w14:paraId="61A45A12"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Для ознакомления с документами требуется время, поэтому срок предлагается увеличить до пяти календарных дней. </w:t>
      </w:r>
    </w:p>
    <w:p w14:paraId="792051B5" w14:textId="20EEE553"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Также предлагается уточнить подход по сроку размещения итогового документа (протокола) публичных слушаний (общественных обсуждений) по проекту бюджета. Основные параметры проекта бюджета обсуждаются при рассмотрении законопроекта в первом чтении, на этапе рассмотрения законопроекта во втором чтении возможны лишь корректировки по расходам в рамках утвержденных основных параметров. С точки зрения логики бюджетного процесса итоги публичных слушаний (общественных обсуждений) по проекту бюджета </w:t>
      </w:r>
      <w:r w:rsidRPr="000B583A">
        <w:rPr>
          <w:rFonts w:ascii="Times New Roman" w:eastAsia="Calibri" w:hAnsi="Times New Roman" w:cs="Times New Roman"/>
          <w:bCs/>
          <w:color w:val="000000"/>
          <w:sz w:val="28"/>
          <w:szCs w:val="28"/>
        </w:rPr>
        <w:t xml:space="preserve">целесообразно </w:t>
      </w:r>
      <w:r w:rsidR="000B583A">
        <w:rPr>
          <w:rFonts w:ascii="Times New Roman" w:eastAsia="Calibri" w:hAnsi="Times New Roman" w:cs="Times New Roman"/>
          <w:bCs/>
          <w:color w:val="000000"/>
          <w:sz w:val="28"/>
          <w:szCs w:val="28"/>
        </w:rPr>
        <w:t>подводить до</w:t>
      </w:r>
      <w:r w:rsidRPr="00007514">
        <w:rPr>
          <w:rFonts w:ascii="Times New Roman" w:eastAsia="Calibri" w:hAnsi="Times New Roman" w:cs="Times New Roman"/>
          <w:bCs/>
          <w:color w:val="000000"/>
          <w:sz w:val="28"/>
          <w:szCs w:val="28"/>
        </w:rPr>
        <w:t xml:space="preserve"> рассмотрения проекта закона о бюджете в первом чтении, так как рекомендации, предложения и замечания могут касаться в том числе и основных параметров проекта бюджета.</w:t>
      </w:r>
    </w:p>
    <w:p w14:paraId="633C8FAF" w14:textId="77777777" w:rsidR="00E4286C" w:rsidRPr="000B583A" w:rsidRDefault="00007514" w:rsidP="003C328E">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6.1, 6.4, 6.8</w:t>
      </w:r>
    </w:p>
    <w:p w14:paraId="67EB7F8B" w14:textId="6AA32BDA" w:rsidR="00007514" w:rsidRPr="00705767" w:rsidRDefault="00007514" w:rsidP="00E4286C">
      <w:pPr>
        <w:pStyle w:val="a7"/>
        <w:tabs>
          <w:tab w:val="left" w:pos="1418"/>
        </w:tabs>
        <w:snapToGrid w:val="0"/>
        <w:ind w:left="709" w:firstLine="0"/>
        <w:contextualSpacing w:val="0"/>
        <w:rPr>
          <w:rFonts w:eastAsia="Calibri" w:cs="Times New Roman"/>
          <w:bCs/>
          <w:color w:val="000000"/>
          <w:lang w:val="ru-RU"/>
        </w:rPr>
      </w:pPr>
      <w:r w:rsidRPr="00705767">
        <w:rPr>
          <w:rFonts w:eastAsia="Calibri" w:cs="Times New Roman"/>
          <w:bCs/>
          <w:color w:val="000000"/>
          <w:lang w:val="ru-RU"/>
        </w:rPr>
        <w:t xml:space="preserve">Предлагается уточнить требования к оценке показателей в части: </w:t>
      </w:r>
    </w:p>
    <w:p w14:paraId="5088DBD3" w14:textId="77777777" w:rsidR="00007514" w:rsidRPr="00007514" w:rsidRDefault="00007514" w:rsidP="00007514">
      <w:pPr>
        <w:keepNext/>
        <w:numPr>
          <w:ilvl w:val="0"/>
          <w:numId w:val="6"/>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содержания «бюджета для граждан»; </w:t>
      </w:r>
    </w:p>
    <w:p w14:paraId="2D660FCF" w14:textId="77777777" w:rsidR="00007514" w:rsidRPr="00007514" w:rsidRDefault="00007514" w:rsidP="00007514">
      <w:pPr>
        <w:numPr>
          <w:ilvl w:val="0"/>
          <w:numId w:val="6"/>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учета интерактивных сайтов «Открытый бюджет» и аналогичных ему; </w:t>
      </w:r>
    </w:p>
    <w:p w14:paraId="3F795017" w14:textId="77777777" w:rsidR="00007514" w:rsidRPr="00007514" w:rsidRDefault="00007514" w:rsidP="00007514">
      <w:pPr>
        <w:numPr>
          <w:ilvl w:val="0"/>
          <w:numId w:val="6"/>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возможности применения к оценке показателей понижающего коэффициента, используемого в связи с представлением данных в неструктурированном виде и (или) в форматах, затрудняющих их поиск и (или) использование (К2).</w:t>
      </w:r>
    </w:p>
    <w:p w14:paraId="2C025EAB" w14:textId="77777777"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lastRenderedPageBreak/>
        <w:t>Предложение в части уточнения требований к содержанию «бюджета для граждан» обусловлено тем, что на разных стадиях бюджетного процесса «бюджет для граждан» выполняет разные задачи. Предполагается, что в результате повысится практическая значимость «бюджета для граждан» и сократятся затраты времени на его подготовку.</w:t>
      </w:r>
    </w:p>
    <w:p w14:paraId="71F69791" w14:textId="38CE8998" w:rsidR="00007514" w:rsidRPr="00007514" w:rsidRDefault="00007514" w:rsidP="00007514">
      <w:pPr>
        <w:tabs>
          <w:tab w:val="left" w:pos="1134"/>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Предложение в части учета в целях оценки показателей 6.1, 6.4, 6.9 интерактивных сайтов «Открытый бюджет» и аналогичных ему направлено на создание равных условий при оценке «бюджетов для граждан», созданных в формате брошюр (презентаций) и в формате </w:t>
      </w:r>
      <w:proofErr w:type="spellStart"/>
      <w:r w:rsidRPr="00007514">
        <w:rPr>
          <w:rFonts w:ascii="Times New Roman" w:eastAsia="Calibri" w:hAnsi="Times New Roman" w:cs="Times New Roman"/>
          <w:bCs/>
          <w:color w:val="000000"/>
          <w:sz w:val="28"/>
          <w:szCs w:val="28"/>
        </w:rPr>
        <w:t>инфографики</w:t>
      </w:r>
      <w:proofErr w:type="spellEnd"/>
      <w:r w:rsidRPr="00007514">
        <w:rPr>
          <w:rFonts w:ascii="Times New Roman" w:eastAsia="Calibri" w:hAnsi="Times New Roman" w:cs="Times New Roman"/>
          <w:bCs/>
          <w:color w:val="000000"/>
          <w:sz w:val="28"/>
          <w:szCs w:val="28"/>
        </w:rPr>
        <w:t xml:space="preserve"> и иных </w:t>
      </w:r>
      <w:r w:rsidR="000B583A">
        <w:rPr>
          <w:rFonts w:ascii="Times New Roman" w:eastAsia="Calibri" w:hAnsi="Times New Roman" w:cs="Times New Roman"/>
          <w:bCs/>
          <w:color w:val="000000"/>
          <w:sz w:val="28"/>
          <w:szCs w:val="28"/>
        </w:rPr>
        <w:t>изображений</w:t>
      </w:r>
      <w:r w:rsidRPr="00007514">
        <w:rPr>
          <w:rFonts w:ascii="Times New Roman" w:eastAsia="Calibri" w:hAnsi="Times New Roman" w:cs="Times New Roman"/>
          <w:bCs/>
          <w:color w:val="000000"/>
          <w:sz w:val="28"/>
          <w:szCs w:val="28"/>
        </w:rPr>
        <w:t xml:space="preserve"> на сайтах.</w:t>
      </w:r>
    </w:p>
    <w:p w14:paraId="1C218087"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Понижающий коэффициент, используемый в связи с представлением данных в неструктурированном виде и (или) в форматах, затрудняющих их поиск и (или) использование, предусмотрен, так как при представлении данных в «бюджете для граждан», например, могут отсутствовать единицы измерения.</w:t>
      </w:r>
    </w:p>
    <w:p w14:paraId="4C4C6F6B"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Предлагаемая редакция показателей 6.1, 6.4, 6.8 (изменения выделены синим цветом):</w:t>
      </w:r>
    </w:p>
    <w:tbl>
      <w:tblPr>
        <w:tblW w:w="9499"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09"/>
        <w:gridCol w:w="7088"/>
        <w:gridCol w:w="567"/>
        <w:gridCol w:w="567"/>
        <w:gridCol w:w="568"/>
      </w:tblGrid>
      <w:tr w:rsidR="00007514" w:rsidRPr="00007514" w14:paraId="69791502" w14:textId="77777777" w:rsidTr="00A1680F">
        <w:trPr>
          <w:trHeight w:val="20"/>
        </w:trPr>
        <w:tc>
          <w:tcPr>
            <w:tcW w:w="709" w:type="dxa"/>
            <w:vMerge w:val="restart"/>
            <w:vAlign w:val="center"/>
          </w:tcPr>
          <w:p w14:paraId="2B5B3470"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 п/п</w:t>
            </w:r>
          </w:p>
        </w:tc>
        <w:tc>
          <w:tcPr>
            <w:tcW w:w="7088" w:type="dxa"/>
            <w:vMerge w:val="restart"/>
            <w:vAlign w:val="center"/>
          </w:tcPr>
          <w:p w14:paraId="64F77AFC"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Вопросы и варианты ответов</w:t>
            </w:r>
          </w:p>
        </w:tc>
        <w:tc>
          <w:tcPr>
            <w:tcW w:w="567" w:type="dxa"/>
            <w:vMerge w:val="restart"/>
            <w:textDirection w:val="btLr"/>
            <w:vAlign w:val="center"/>
          </w:tcPr>
          <w:p w14:paraId="05360EA3" w14:textId="77777777" w:rsidR="00007514" w:rsidRPr="00007514" w:rsidRDefault="00007514" w:rsidP="00007514">
            <w:pPr>
              <w:keepNext/>
              <w:spacing w:before="40" w:after="40" w:line="240" w:lineRule="auto"/>
              <w:ind w:left="113" w:right="113"/>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Баллы</w:t>
            </w:r>
          </w:p>
        </w:tc>
        <w:tc>
          <w:tcPr>
            <w:tcW w:w="1135" w:type="dxa"/>
            <w:gridSpan w:val="2"/>
            <w:tcBorders>
              <w:bottom w:val="single" w:sz="4" w:space="0" w:color="A6A6A6"/>
            </w:tcBorders>
            <w:vAlign w:val="center"/>
          </w:tcPr>
          <w:p w14:paraId="05DC24B6"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Понижающие коэффициенты</w:t>
            </w:r>
          </w:p>
        </w:tc>
      </w:tr>
      <w:tr w:rsidR="00007514" w:rsidRPr="00007514" w14:paraId="1CAF2B62" w14:textId="77777777" w:rsidTr="00A1680F">
        <w:trPr>
          <w:trHeight w:val="20"/>
        </w:trPr>
        <w:tc>
          <w:tcPr>
            <w:tcW w:w="709" w:type="dxa"/>
            <w:vMerge/>
            <w:tcBorders>
              <w:bottom w:val="single" w:sz="4" w:space="0" w:color="A6A6A6"/>
            </w:tcBorders>
            <w:vAlign w:val="center"/>
          </w:tcPr>
          <w:p w14:paraId="6527E516" w14:textId="77777777" w:rsidR="00007514" w:rsidRPr="00007514" w:rsidRDefault="00007514" w:rsidP="00007514">
            <w:pPr>
              <w:keepNext/>
              <w:spacing w:before="40" w:after="40" w:line="240" w:lineRule="auto"/>
              <w:ind w:firstLine="720"/>
              <w:jc w:val="center"/>
              <w:rPr>
                <w:rFonts w:ascii="Times New Roman" w:eastAsia="Times New Roman" w:hAnsi="Times New Roman" w:cs="Times New Roman"/>
                <w:color w:val="000000"/>
                <w:sz w:val="24"/>
                <w:szCs w:val="24"/>
                <w:lang w:eastAsia="ru-RU"/>
              </w:rPr>
            </w:pPr>
          </w:p>
        </w:tc>
        <w:tc>
          <w:tcPr>
            <w:tcW w:w="7088" w:type="dxa"/>
            <w:vMerge/>
            <w:tcBorders>
              <w:bottom w:val="single" w:sz="4" w:space="0" w:color="A6A6A6"/>
            </w:tcBorders>
            <w:vAlign w:val="center"/>
          </w:tcPr>
          <w:p w14:paraId="468C6465" w14:textId="77777777" w:rsidR="00007514" w:rsidRPr="00007514" w:rsidRDefault="00007514" w:rsidP="00007514">
            <w:pPr>
              <w:keepNext/>
              <w:spacing w:before="40" w:after="40" w:line="240" w:lineRule="auto"/>
              <w:ind w:firstLine="720"/>
              <w:jc w:val="both"/>
              <w:rPr>
                <w:rFonts w:ascii="Times New Roman" w:eastAsia="Times New Roman" w:hAnsi="Times New Roman" w:cs="Times New Roman"/>
                <w:caps/>
                <w:color w:val="000000"/>
                <w:sz w:val="24"/>
                <w:szCs w:val="24"/>
                <w:lang w:eastAsia="ru-RU"/>
              </w:rPr>
            </w:pPr>
          </w:p>
        </w:tc>
        <w:tc>
          <w:tcPr>
            <w:tcW w:w="567" w:type="dxa"/>
            <w:vMerge/>
            <w:tcBorders>
              <w:bottom w:val="single" w:sz="4" w:space="0" w:color="A6A6A6"/>
            </w:tcBorders>
            <w:vAlign w:val="center"/>
          </w:tcPr>
          <w:p w14:paraId="12F443A5"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p>
        </w:tc>
        <w:tc>
          <w:tcPr>
            <w:tcW w:w="567" w:type="dxa"/>
            <w:tcBorders>
              <w:bottom w:val="single" w:sz="4" w:space="0" w:color="A6A6A6"/>
            </w:tcBorders>
            <w:vAlign w:val="center"/>
          </w:tcPr>
          <w:p w14:paraId="3FD3D953"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К1</w:t>
            </w:r>
          </w:p>
        </w:tc>
        <w:tc>
          <w:tcPr>
            <w:tcW w:w="568" w:type="dxa"/>
            <w:tcBorders>
              <w:bottom w:val="single" w:sz="4" w:space="0" w:color="A6A6A6"/>
            </w:tcBorders>
            <w:vAlign w:val="center"/>
          </w:tcPr>
          <w:p w14:paraId="3D450A76" w14:textId="77777777" w:rsidR="00007514" w:rsidRPr="00007514" w:rsidRDefault="00007514" w:rsidP="00007514">
            <w:pPr>
              <w:keepNext/>
              <w:spacing w:before="40" w:after="40" w:line="240" w:lineRule="auto"/>
              <w:jc w:val="center"/>
              <w:rPr>
                <w:rFonts w:ascii="Times New Roman" w:eastAsia="Times New Roman" w:hAnsi="Times New Roman" w:cs="Times New Roman"/>
                <w:color w:val="000000"/>
                <w:sz w:val="24"/>
                <w:szCs w:val="24"/>
                <w:lang w:eastAsia="ru-RU"/>
              </w:rPr>
            </w:pPr>
            <w:r w:rsidRPr="00007514">
              <w:rPr>
                <w:rFonts w:ascii="Times New Roman" w:eastAsia="Times New Roman" w:hAnsi="Times New Roman" w:cs="Times New Roman"/>
                <w:color w:val="000000"/>
                <w:sz w:val="24"/>
                <w:szCs w:val="24"/>
                <w:lang w:eastAsia="ru-RU"/>
              </w:rPr>
              <w:t>К2</w:t>
            </w:r>
          </w:p>
        </w:tc>
      </w:tr>
      <w:tr w:rsidR="00007514" w:rsidRPr="00007514" w14:paraId="66AED9FB" w14:textId="77777777" w:rsidTr="00A1680F">
        <w:trPr>
          <w:trHeight w:val="20"/>
        </w:trPr>
        <w:tc>
          <w:tcPr>
            <w:tcW w:w="709" w:type="dxa"/>
          </w:tcPr>
          <w:p w14:paraId="0720124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6.1</w:t>
            </w:r>
          </w:p>
        </w:tc>
        <w:tc>
          <w:tcPr>
            <w:tcW w:w="7088" w:type="dxa"/>
            <w:vAlign w:val="center"/>
          </w:tcPr>
          <w:p w14:paraId="74696F00" w14:textId="77777777" w:rsidR="00007514" w:rsidRPr="00007514" w:rsidRDefault="00007514" w:rsidP="00007514">
            <w:pPr>
              <w:spacing w:before="40" w:after="40" w:line="240" w:lineRule="auto"/>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Разработан ли «бюджет для граждан» на основе принятого закона о бюджете субъекта Российской Федерации на 2022 год и на плановый период 2023 и 2024 годов?</w:t>
            </w:r>
          </w:p>
          <w:p w14:paraId="0BD44AF7" w14:textId="7E43C59E"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В целях оценки показателя учитыва</w:t>
            </w:r>
            <w:r w:rsidR="000B583A">
              <w:rPr>
                <w:rFonts w:ascii="Times New Roman" w:eastAsia="Calibri" w:hAnsi="Times New Roman" w:cs="Times New Roman"/>
                <w:color w:val="000000"/>
                <w:sz w:val="24"/>
                <w:szCs w:val="24"/>
                <w:lang w:eastAsia="ru-RU"/>
              </w:rPr>
              <w:t>е</w:t>
            </w:r>
            <w:r w:rsidRPr="00007514">
              <w:rPr>
                <w:rFonts w:ascii="Times New Roman" w:eastAsia="Calibri" w:hAnsi="Times New Roman" w:cs="Times New Roman"/>
                <w:color w:val="000000"/>
                <w:sz w:val="24"/>
                <w:szCs w:val="24"/>
                <w:lang w:eastAsia="ru-RU"/>
              </w:rPr>
              <w:t xml:space="preserve">тся «бюджет для граждан», разработанный на основе закона субъекта Российской Федерации о бюджете на 2022 год и на плановый период 2023 и 2024 годов, размещенный на сайте, предназначенном для размещения бюджетных данных, в период с даты подписания закона о бюджете субъекта Российской Федерации до 31 марта 2022 года. </w:t>
            </w:r>
          </w:p>
          <w:p w14:paraId="6A4C91DC" w14:textId="77777777" w:rsidR="00007514" w:rsidRPr="00007514" w:rsidRDefault="00007514" w:rsidP="00007514">
            <w:pPr>
              <w:spacing w:before="40" w:after="40" w:line="240" w:lineRule="auto"/>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 xml:space="preserve">Для оценки показателя в составе «бюджета для граждан» в обязательном порядке должны быть представлены сведения, характеризующие доходы, расходы, источники финансирования дефицита бюджета, а также государственный долг субъекта Российской Федерации. </w:t>
            </w:r>
          </w:p>
          <w:p w14:paraId="1684A49A" w14:textId="498E301C" w:rsidR="00E4286C" w:rsidRPr="00E4286C" w:rsidRDefault="00007514" w:rsidP="00007514">
            <w:pPr>
              <w:spacing w:before="40" w:after="40" w:line="240" w:lineRule="auto"/>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lastRenderedPageBreak/>
              <w:t xml:space="preserve">Интерактивный сайт «Открытый бюджет» или аналогичные ему в целях оценки показателя учитываются при наличии на них на момент проведения мониторинга актуальных данных о доходах, расходах, источниках финансирования дефицита бюджета, а также о государственном долге субъекта Российской Федерации, сформированных на основе закона о бюджете. </w:t>
            </w:r>
          </w:p>
        </w:tc>
        <w:tc>
          <w:tcPr>
            <w:tcW w:w="567" w:type="dxa"/>
          </w:tcPr>
          <w:p w14:paraId="79AB6F33"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c>
          <w:tcPr>
            <w:tcW w:w="567" w:type="dxa"/>
          </w:tcPr>
          <w:p w14:paraId="40D5EDC4"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c>
          <w:tcPr>
            <w:tcW w:w="567" w:type="dxa"/>
          </w:tcPr>
          <w:p w14:paraId="6A0F43F4"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r>
      <w:tr w:rsidR="00007514" w:rsidRPr="00007514" w14:paraId="70804FC3" w14:textId="77777777" w:rsidTr="00A1680F">
        <w:trPr>
          <w:trHeight w:val="20"/>
        </w:trPr>
        <w:tc>
          <w:tcPr>
            <w:tcW w:w="709" w:type="dxa"/>
          </w:tcPr>
          <w:p w14:paraId="5CED5310"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p>
        </w:tc>
        <w:tc>
          <w:tcPr>
            <w:tcW w:w="7088" w:type="dxa"/>
            <w:vAlign w:val="center"/>
          </w:tcPr>
          <w:p w14:paraId="179887B3" w14:textId="77777777" w:rsidR="00007514" w:rsidRPr="00007514" w:rsidRDefault="00007514" w:rsidP="00007514">
            <w:pPr>
              <w:spacing w:before="40" w:after="40" w:line="240" w:lineRule="auto"/>
              <w:ind w:left="172" w:firstLine="4"/>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 xml:space="preserve"> </w:t>
            </w:r>
            <w:r w:rsidRPr="00007514">
              <w:rPr>
                <w:rFonts w:ascii="Times New Roman" w:eastAsia="Calibri" w:hAnsi="Times New Roman" w:cs="Times New Roman"/>
                <w:i/>
                <w:color w:val="000000"/>
                <w:sz w:val="24"/>
                <w:szCs w:val="24"/>
                <w:lang w:eastAsia="ru-RU"/>
              </w:rPr>
              <w:t xml:space="preserve">Да, разработан </w:t>
            </w:r>
          </w:p>
        </w:tc>
        <w:tc>
          <w:tcPr>
            <w:tcW w:w="567" w:type="dxa"/>
            <w:vAlign w:val="center"/>
          </w:tcPr>
          <w:p w14:paraId="519A8D4E"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1</w:t>
            </w:r>
          </w:p>
        </w:tc>
        <w:tc>
          <w:tcPr>
            <w:tcW w:w="567" w:type="dxa"/>
            <w:vAlign w:val="center"/>
          </w:tcPr>
          <w:p w14:paraId="312BDAC7"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vAlign w:val="center"/>
          </w:tcPr>
          <w:p w14:paraId="7A74DE47"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15D3156A" w14:textId="77777777" w:rsidTr="00A1680F">
        <w:trPr>
          <w:trHeight w:val="20"/>
        </w:trPr>
        <w:tc>
          <w:tcPr>
            <w:tcW w:w="709" w:type="dxa"/>
          </w:tcPr>
          <w:p w14:paraId="0580E35B"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p>
        </w:tc>
        <w:tc>
          <w:tcPr>
            <w:tcW w:w="7088" w:type="dxa"/>
            <w:vAlign w:val="center"/>
          </w:tcPr>
          <w:p w14:paraId="3C9EC2BF" w14:textId="77777777" w:rsidR="00007514" w:rsidRPr="00007514" w:rsidRDefault="00007514" w:rsidP="00007514">
            <w:pPr>
              <w:spacing w:before="40" w:after="40" w:line="240" w:lineRule="auto"/>
              <w:ind w:left="172" w:firstLine="4"/>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Нет, не разработан, </w:t>
            </w:r>
            <w:r w:rsidRPr="00007514">
              <w:rPr>
                <w:rFonts w:ascii="Times New Roman" w:eastAsia="Calibri" w:hAnsi="Times New Roman" w:cs="Times New Roman"/>
                <w:i/>
                <w:color w:val="0070C0"/>
                <w:sz w:val="24"/>
                <w:szCs w:val="24"/>
                <w:lang w:eastAsia="ru-RU"/>
              </w:rPr>
              <w:t>или не отвечает требованиям</w:t>
            </w:r>
            <w:r w:rsidRPr="00007514">
              <w:rPr>
                <w:rFonts w:ascii="Times New Roman" w:eastAsia="Calibri" w:hAnsi="Times New Roman" w:cs="Times New Roman"/>
                <w:i/>
                <w:color w:val="000000"/>
                <w:sz w:val="24"/>
                <w:szCs w:val="24"/>
                <w:lang w:eastAsia="ru-RU"/>
              </w:rPr>
              <w:t>, или отсутствует в открытом доступе в установленный срок</w:t>
            </w:r>
          </w:p>
        </w:tc>
        <w:tc>
          <w:tcPr>
            <w:tcW w:w="567" w:type="dxa"/>
            <w:vAlign w:val="center"/>
          </w:tcPr>
          <w:p w14:paraId="31A1E511"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w:t>
            </w:r>
          </w:p>
        </w:tc>
        <w:tc>
          <w:tcPr>
            <w:tcW w:w="567" w:type="dxa"/>
            <w:vAlign w:val="center"/>
          </w:tcPr>
          <w:p w14:paraId="2ADD8230"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c>
          <w:tcPr>
            <w:tcW w:w="567" w:type="dxa"/>
            <w:vAlign w:val="center"/>
          </w:tcPr>
          <w:p w14:paraId="0ED82A15"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r>
      <w:tr w:rsidR="00007514" w:rsidRPr="00007514" w14:paraId="0A72E4BB" w14:textId="77777777" w:rsidTr="00A1680F">
        <w:trPr>
          <w:trHeight w:val="20"/>
        </w:trPr>
        <w:tc>
          <w:tcPr>
            <w:tcW w:w="709" w:type="dxa"/>
            <w:tcBorders>
              <w:top w:val="single" w:sz="4" w:space="0" w:color="A6A6A6"/>
              <w:left w:val="single" w:sz="4" w:space="0" w:color="A6A6A6"/>
              <w:bottom w:val="single" w:sz="4" w:space="0" w:color="A6A6A6"/>
              <w:right w:val="single" w:sz="4" w:space="0" w:color="A6A6A6"/>
            </w:tcBorders>
          </w:tcPr>
          <w:p w14:paraId="5DE9364F"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6.4</w:t>
            </w:r>
          </w:p>
        </w:tc>
        <w:tc>
          <w:tcPr>
            <w:tcW w:w="7088" w:type="dxa"/>
            <w:tcBorders>
              <w:top w:val="single" w:sz="4" w:space="0" w:color="A6A6A6"/>
              <w:left w:val="single" w:sz="4" w:space="0" w:color="A6A6A6"/>
              <w:bottom w:val="single" w:sz="4" w:space="0" w:color="A6A6A6"/>
              <w:right w:val="single" w:sz="4" w:space="0" w:color="A6A6A6"/>
            </w:tcBorders>
            <w:vAlign w:val="center"/>
          </w:tcPr>
          <w:p w14:paraId="56D55462" w14:textId="77777777" w:rsidR="00007514" w:rsidRPr="00007514" w:rsidRDefault="00007514" w:rsidP="00007514">
            <w:pPr>
              <w:spacing w:before="40" w:after="40" w:line="240" w:lineRule="auto"/>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Разработан ли «бюджет для граждан» на основе отчета об исполнении бюджета субъекта Российской Федерации за 2021 год?</w:t>
            </w:r>
          </w:p>
          <w:p w14:paraId="51130BB7"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 xml:space="preserve">В целях оценки показателя учитывается «бюджет для граждан», разработанный на основе годового отчета об исполнении бюджета субъекта Российской Федерации за 2021 год или на основе закона (проекта закона) об исполнении закона о бюджете субъекта Российской Федерации за 2021 год, размещенный на сайте, предназначенном для размещения бюджетных данных, до 31 июля 2021 года. </w:t>
            </w:r>
          </w:p>
          <w:p w14:paraId="62B55CB2" w14:textId="77777777" w:rsidR="00007514" w:rsidRPr="00007514" w:rsidRDefault="00007514" w:rsidP="00007514">
            <w:pPr>
              <w:spacing w:before="40" w:after="40" w:line="240" w:lineRule="auto"/>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 xml:space="preserve">Для оценки показателя в составе «бюджета для граждан» в обязательном порядке должны быть представлены сведения о плановых значениях, установленных первоначально принятым законом о бюджете, уточненных плановых значениях и фактическом исполнении доходов и расходов бюджета с пояснениями различий: а) между первоначальным планом и фактическим исполнением; б) между уточненным планом и фактическим исполнением. </w:t>
            </w:r>
          </w:p>
          <w:p w14:paraId="62B2041C" w14:textId="77777777" w:rsidR="00007514" w:rsidRPr="00007514" w:rsidRDefault="00007514" w:rsidP="00007514">
            <w:pPr>
              <w:spacing w:before="40" w:after="40" w:line="240" w:lineRule="auto"/>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color w:val="0070C0"/>
                <w:sz w:val="24"/>
                <w:szCs w:val="24"/>
                <w:lang w:eastAsia="ru-RU"/>
              </w:rPr>
              <w:t>Интерактивный сайт «Открытый бюджет» и аналогичные ему учитываются в случае, если на нем представлены все указанные выше сведения, в том числе пояснения.</w:t>
            </w:r>
          </w:p>
        </w:tc>
        <w:tc>
          <w:tcPr>
            <w:tcW w:w="567" w:type="dxa"/>
            <w:tcBorders>
              <w:top w:val="single" w:sz="4" w:space="0" w:color="A6A6A6"/>
              <w:left w:val="single" w:sz="4" w:space="0" w:color="A6A6A6"/>
              <w:bottom w:val="single" w:sz="4" w:space="0" w:color="A6A6A6"/>
              <w:right w:val="single" w:sz="4" w:space="0" w:color="A6A6A6"/>
            </w:tcBorders>
          </w:tcPr>
          <w:p w14:paraId="62549224"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c>
          <w:tcPr>
            <w:tcW w:w="567" w:type="dxa"/>
            <w:tcBorders>
              <w:top w:val="single" w:sz="4" w:space="0" w:color="A6A6A6"/>
              <w:left w:val="single" w:sz="4" w:space="0" w:color="A6A6A6"/>
              <w:bottom w:val="single" w:sz="4" w:space="0" w:color="A6A6A6"/>
              <w:right w:val="single" w:sz="4" w:space="0" w:color="A6A6A6"/>
            </w:tcBorders>
          </w:tcPr>
          <w:p w14:paraId="61776577"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c>
          <w:tcPr>
            <w:tcW w:w="567" w:type="dxa"/>
            <w:tcBorders>
              <w:top w:val="single" w:sz="4" w:space="0" w:color="A6A6A6"/>
              <w:left w:val="single" w:sz="4" w:space="0" w:color="A6A6A6"/>
              <w:bottom w:val="single" w:sz="4" w:space="0" w:color="A6A6A6"/>
              <w:right w:val="single" w:sz="4" w:space="0" w:color="A6A6A6"/>
            </w:tcBorders>
          </w:tcPr>
          <w:p w14:paraId="3C7C5FC5"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r>
      <w:tr w:rsidR="00007514" w:rsidRPr="00007514" w14:paraId="708AE943" w14:textId="77777777" w:rsidTr="00A1680F">
        <w:trPr>
          <w:trHeight w:val="20"/>
        </w:trPr>
        <w:tc>
          <w:tcPr>
            <w:tcW w:w="709" w:type="dxa"/>
            <w:tcBorders>
              <w:top w:val="single" w:sz="4" w:space="0" w:color="A6A6A6"/>
              <w:left w:val="single" w:sz="4" w:space="0" w:color="A6A6A6"/>
              <w:bottom w:val="single" w:sz="4" w:space="0" w:color="A6A6A6"/>
              <w:right w:val="single" w:sz="4" w:space="0" w:color="A6A6A6"/>
            </w:tcBorders>
          </w:tcPr>
          <w:p w14:paraId="74BD9D71"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p>
        </w:tc>
        <w:tc>
          <w:tcPr>
            <w:tcW w:w="7088" w:type="dxa"/>
            <w:tcBorders>
              <w:top w:val="single" w:sz="4" w:space="0" w:color="A6A6A6"/>
              <w:left w:val="single" w:sz="4" w:space="0" w:color="A6A6A6"/>
              <w:bottom w:val="single" w:sz="4" w:space="0" w:color="A6A6A6"/>
              <w:right w:val="single" w:sz="4" w:space="0" w:color="A6A6A6"/>
            </w:tcBorders>
            <w:vAlign w:val="center"/>
          </w:tcPr>
          <w:p w14:paraId="294DEB24" w14:textId="77777777" w:rsidR="00007514" w:rsidRPr="00007514" w:rsidRDefault="00007514" w:rsidP="00007514">
            <w:pPr>
              <w:spacing w:before="40" w:after="40" w:line="240" w:lineRule="auto"/>
              <w:ind w:left="172" w:firstLine="4"/>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 Да, разработан </w:t>
            </w:r>
          </w:p>
        </w:tc>
        <w:tc>
          <w:tcPr>
            <w:tcW w:w="567" w:type="dxa"/>
            <w:tcBorders>
              <w:top w:val="single" w:sz="4" w:space="0" w:color="A6A6A6"/>
              <w:left w:val="single" w:sz="4" w:space="0" w:color="A6A6A6"/>
              <w:bottom w:val="single" w:sz="4" w:space="0" w:color="A6A6A6"/>
              <w:right w:val="single" w:sz="4" w:space="0" w:color="A6A6A6"/>
            </w:tcBorders>
            <w:vAlign w:val="center"/>
          </w:tcPr>
          <w:p w14:paraId="2D429DEB"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1</w:t>
            </w:r>
          </w:p>
        </w:tc>
        <w:tc>
          <w:tcPr>
            <w:tcW w:w="567" w:type="dxa"/>
            <w:tcBorders>
              <w:top w:val="single" w:sz="4" w:space="0" w:color="A6A6A6"/>
              <w:left w:val="single" w:sz="4" w:space="0" w:color="A6A6A6"/>
              <w:bottom w:val="single" w:sz="4" w:space="0" w:color="A6A6A6"/>
              <w:right w:val="single" w:sz="4" w:space="0" w:color="A6A6A6"/>
            </w:tcBorders>
            <w:vAlign w:val="center"/>
          </w:tcPr>
          <w:p w14:paraId="6FB1120A"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tcBorders>
              <w:top w:val="single" w:sz="4" w:space="0" w:color="A6A6A6"/>
              <w:left w:val="single" w:sz="4" w:space="0" w:color="A6A6A6"/>
              <w:bottom w:val="single" w:sz="4" w:space="0" w:color="A6A6A6"/>
              <w:right w:val="single" w:sz="4" w:space="0" w:color="A6A6A6"/>
            </w:tcBorders>
            <w:vAlign w:val="center"/>
          </w:tcPr>
          <w:p w14:paraId="770E0962"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2BE0B2B9" w14:textId="77777777" w:rsidTr="00A1680F">
        <w:trPr>
          <w:trHeight w:val="20"/>
        </w:trPr>
        <w:tc>
          <w:tcPr>
            <w:tcW w:w="709" w:type="dxa"/>
            <w:tcBorders>
              <w:top w:val="single" w:sz="4" w:space="0" w:color="A6A6A6"/>
              <w:left w:val="single" w:sz="4" w:space="0" w:color="A6A6A6"/>
              <w:bottom w:val="single" w:sz="4" w:space="0" w:color="A6A6A6"/>
              <w:right w:val="single" w:sz="4" w:space="0" w:color="A6A6A6"/>
            </w:tcBorders>
          </w:tcPr>
          <w:p w14:paraId="1C23A880"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p>
        </w:tc>
        <w:tc>
          <w:tcPr>
            <w:tcW w:w="7088" w:type="dxa"/>
            <w:tcBorders>
              <w:top w:val="single" w:sz="4" w:space="0" w:color="A6A6A6"/>
              <w:left w:val="single" w:sz="4" w:space="0" w:color="A6A6A6"/>
              <w:bottom w:val="single" w:sz="4" w:space="0" w:color="A6A6A6"/>
              <w:right w:val="single" w:sz="4" w:space="0" w:color="A6A6A6"/>
            </w:tcBorders>
            <w:vAlign w:val="center"/>
          </w:tcPr>
          <w:p w14:paraId="1F040567" w14:textId="77777777" w:rsidR="00007514" w:rsidRPr="00007514" w:rsidRDefault="00007514" w:rsidP="00007514">
            <w:pPr>
              <w:spacing w:before="40" w:after="40" w:line="240" w:lineRule="auto"/>
              <w:ind w:left="172" w:firstLine="4"/>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Нет, не разработан, </w:t>
            </w:r>
            <w:r w:rsidRPr="00007514">
              <w:rPr>
                <w:rFonts w:ascii="Times New Roman" w:eastAsia="Calibri" w:hAnsi="Times New Roman" w:cs="Times New Roman"/>
                <w:i/>
                <w:color w:val="0070C0"/>
                <w:sz w:val="24"/>
                <w:szCs w:val="24"/>
                <w:lang w:eastAsia="ru-RU"/>
              </w:rPr>
              <w:t>или не отвечает требованиям</w:t>
            </w:r>
            <w:r w:rsidRPr="00007514">
              <w:rPr>
                <w:rFonts w:ascii="Times New Roman" w:eastAsia="Calibri" w:hAnsi="Times New Roman" w:cs="Times New Roman"/>
                <w:i/>
                <w:color w:val="000000"/>
                <w:sz w:val="24"/>
                <w:szCs w:val="24"/>
                <w:lang w:eastAsia="ru-RU"/>
              </w:rPr>
              <w:t>, или отсутствует в открытом доступе в установленный срок</w:t>
            </w:r>
          </w:p>
        </w:tc>
        <w:tc>
          <w:tcPr>
            <w:tcW w:w="567" w:type="dxa"/>
            <w:tcBorders>
              <w:top w:val="single" w:sz="4" w:space="0" w:color="A6A6A6"/>
              <w:left w:val="single" w:sz="4" w:space="0" w:color="A6A6A6"/>
              <w:bottom w:val="single" w:sz="4" w:space="0" w:color="A6A6A6"/>
              <w:right w:val="single" w:sz="4" w:space="0" w:color="A6A6A6"/>
            </w:tcBorders>
            <w:vAlign w:val="center"/>
          </w:tcPr>
          <w:p w14:paraId="784FFE28"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w:t>
            </w:r>
          </w:p>
        </w:tc>
        <w:tc>
          <w:tcPr>
            <w:tcW w:w="567" w:type="dxa"/>
            <w:tcBorders>
              <w:top w:val="single" w:sz="4" w:space="0" w:color="A6A6A6"/>
              <w:left w:val="single" w:sz="4" w:space="0" w:color="A6A6A6"/>
              <w:bottom w:val="single" w:sz="4" w:space="0" w:color="A6A6A6"/>
              <w:right w:val="single" w:sz="4" w:space="0" w:color="A6A6A6"/>
            </w:tcBorders>
            <w:vAlign w:val="center"/>
          </w:tcPr>
          <w:p w14:paraId="2FD63826"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c>
          <w:tcPr>
            <w:tcW w:w="567" w:type="dxa"/>
            <w:tcBorders>
              <w:top w:val="single" w:sz="4" w:space="0" w:color="A6A6A6"/>
              <w:left w:val="single" w:sz="4" w:space="0" w:color="A6A6A6"/>
              <w:bottom w:val="single" w:sz="4" w:space="0" w:color="A6A6A6"/>
              <w:right w:val="single" w:sz="4" w:space="0" w:color="A6A6A6"/>
            </w:tcBorders>
            <w:vAlign w:val="center"/>
          </w:tcPr>
          <w:p w14:paraId="4834C7C5"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r>
      <w:tr w:rsidR="00007514" w:rsidRPr="00007514" w14:paraId="6552F12B" w14:textId="77777777" w:rsidTr="00A1680F">
        <w:trPr>
          <w:trHeight w:val="20"/>
        </w:trPr>
        <w:tc>
          <w:tcPr>
            <w:tcW w:w="709" w:type="dxa"/>
            <w:tcBorders>
              <w:top w:val="single" w:sz="4" w:space="0" w:color="A6A6A6"/>
              <w:left w:val="single" w:sz="4" w:space="0" w:color="A6A6A6"/>
              <w:bottom w:val="single" w:sz="4" w:space="0" w:color="A6A6A6"/>
              <w:right w:val="single" w:sz="4" w:space="0" w:color="A6A6A6"/>
            </w:tcBorders>
          </w:tcPr>
          <w:p w14:paraId="66353B19"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6.8</w:t>
            </w:r>
          </w:p>
        </w:tc>
        <w:tc>
          <w:tcPr>
            <w:tcW w:w="7088" w:type="dxa"/>
            <w:tcBorders>
              <w:top w:val="single" w:sz="4" w:space="0" w:color="A6A6A6"/>
              <w:left w:val="single" w:sz="4" w:space="0" w:color="A6A6A6"/>
              <w:bottom w:val="single" w:sz="4" w:space="0" w:color="A6A6A6"/>
              <w:right w:val="single" w:sz="4" w:space="0" w:color="A6A6A6"/>
            </w:tcBorders>
            <w:vAlign w:val="center"/>
          </w:tcPr>
          <w:p w14:paraId="23290A65" w14:textId="77777777" w:rsidR="00007514" w:rsidRPr="00007514" w:rsidRDefault="00007514" w:rsidP="00007514">
            <w:pPr>
              <w:spacing w:before="40" w:after="40" w:line="240" w:lineRule="auto"/>
              <w:jc w:val="both"/>
              <w:rPr>
                <w:rFonts w:ascii="Times New Roman" w:eastAsia="Calibri" w:hAnsi="Times New Roman" w:cs="Times New Roman"/>
                <w:b/>
                <w:color w:val="000000"/>
                <w:sz w:val="24"/>
                <w:szCs w:val="24"/>
                <w:lang w:eastAsia="ru-RU"/>
              </w:rPr>
            </w:pPr>
            <w:r w:rsidRPr="00007514">
              <w:rPr>
                <w:rFonts w:ascii="Times New Roman" w:eastAsia="Calibri" w:hAnsi="Times New Roman" w:cs="Times New Roman"/>
                <w:b/>
                <w:color w:val="000000"/>
                <w:sz w:val="24"/>
                <w:szCs w:val="24"/>
                <w:lang w:eastAsia="ru-RU"/>
              </w:rPr>
              <w:t>Разработан ли «бюджет для граждан» на основе проекта бюджета субъекта Российской Федерации на 2023 год и на плановый период 2024 и 2025 годов?</w:t>
            </w:r>
          </w:p>
          <w:p w14:paraId="78809623" w14:textId="77777777" w:rsidR="00007514" w:rsidRPr="00007514" w:rsidRDefault="00007514" w:rsidP="00007514">
            <w:pPr>
              <w:spacing w:before="40" w:after="40" w:line="240" w:lineRule="auto"/>
              <w:jc w:val="both"/>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В целях оценки показателя учитывается «бюджет для граждан», разработанный на основе проекта бюджета субъекта Российской Федерации на 2023 год и на плановый период 2024 и 2025 годов, и размещенный на сайте, предназначенном для размещения бюджетных данных, до 30 ноября 2022 года.</w:t>
            </w:r>
          </w:p>
          <w:p w14:paraId="780CA78F" w14:textId="77777777" w:rsidR="00007514" w:rsidRPr="00007514" w:rsidRDefault="00007514" w:rsidP="00007514">
            <w:pPr>
              <w:spacing w:before="40" w:after="40" w:line="240" w:lineRule="auto"/>
              <w:jc w:val="both"/>
              <w:rPr>
                <w:rFonts w:ascii="Times New Roman" w:eastAsia="Calibri" w:hAnsi="Times New Roman" w:cs="Times New Roman"/>
                <w:color w:val="0070C0"/>
                <w:sz w:val="24"/>
                <w:szCs w:val="24"/>
                <w:lang w:eastAsia="ru-RU"/>
              </w:rPr>
            </w:pPr>
            <w:r w:rsidRPr="00007514">
              <w:rPr>
                <w:rFonts w:ascii="Times New Roman" w:eastAsia="Calibri" w:hAnsi="Times New Roman" w:cs="Times New Roman"/>
                <w:color w:val="0070C0"/>
                <w:sz w:val="24"/>
                <w:szCs w:val="24"/>
                <w:lang w:eastAsia="ru-RU"/>
              </w:rPr>
              <w:t xml:space="preserve">Для оценки показателя в составе «бюджета для граждан» в обязательном порядке должны быть представлены сведения, демонстрирующие отличия проекта бюджета на очередной финансовый год и плановый период от бюджета текущего года и бюджетов прошлых лет. </w:t>
            </w:r>
          </w:p>
          <w:p w14:paraId="18851A0E" w14:textId="77777777" w:rsidR="00007514" w:rsidRPr="00007514" w:rsidRDefault="00007514" w:rsidP="00007514">
            <w:pPr>
              <w:spacing w:before="40" w:after="40" w:line="240" w:lineRule="auto"/>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color w:val="0070C0"/>
                <w:sz w:val="24"/>
                <w:szCs w:val="24"/>
                <w:lang w:eastAsia="ru-RU"/>
              </w:rPr>
              <w:lastRenderedPageBreak/>
              <w:t>Интерактивный сайт «Открытый бюджет» и аналогичные ему учитываются в случае, если на них четко и наглядно представлены указанные выше отличия.</w:t>
            </w:r>
          </w:p>
        </w:tc>
        <w:tc>
          <w:tcPr>
            <w:tcW w:w="567" w:type="dxa"/>
            <w:tcBorders>
              <w:top w:val="single" w:sz="4" w:space="0" w:color="A6A6A6"/>
              <w:left w:val="single" w:sz="4" w:space="0" w:color="A6A6A6"/>
              <w:bottom w:val="single" w:sz="4" w:space="0" w:color="A6A6A6"/>
              <w:right w:val="single" w:sz="4" w:space="0" w:color="A6A6A6"/>
            </w:tcBorders>
          </w:tcPr>
          <w:p w14:paraId="45453D5D" w14:textId="77777777" w:rsidR="00007514" w:rsidRPr="00007514" w:rsidRDefault="00007514" w:rsidP="00007514">
            <w:pPr>
              <w:spacing w:before="40" w:after="40" w:line="240" w:lineRule="auto"/>
              <w:ind w:firstLine="720"/>
              <w:jc w:val="center"/>
              <w:rPr>
                <w:rFonts w:ascii="Times New Roman" w:eastAsia="Calibri" w:hAnsi="Times New Roman" w:cs="Times New Roman"/>
                <w:bCs/>
                <w:color w:val="000000"/>
                <w:sz w:val="24"/>
                <w:szCs w:val="24"/>
                <w:lang w:eastAsia="ru-RU"/>
              </w:rPr>
            </w:pPr>
          </w:p>
        </w:tc>
        <w:tc>
          <w:tcPr>
            <w:tcW w:w="567" w:type="dxa"/>
            <w:tcBorders>
              <w:top w:val="single" w:sz="4" w:space="0" w:color="A6A6A6"/>
              <w:left w:val="single" w:sz="4" w:space="0" w:color="A6A6A6"/>
              <w:bottom w:val="single" w:sz="4" w:space="0" w:color="A6A6A6"/>
              <w:right w:val="single" w:sz="4" w:space="0" w:color="A6A6A6"/>
            </w:tcBorders>
          </w:tcPr>
          <w:p w14:paraId="0C4FEE0F"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c>
          <w:tcPr>
            <w:tcW w:w="567" w:type="dxa"/>
            <w:tcBorders>
              <w:top w:val="single" w:sz="4" w:space="0" w:color="A6A6A6"/>
              <w:left w:val="single" w:sz="4" w:space="0" w:color="A6A6A6"/>
              <w:bottom w:val="single" w:sz="4" w:space="0" w:color="A6A6A6"/>
              <w:right w:val="single" w:sz="4" w:space="0" w:color="A6A6A6"/>
            </w:tcBorders>
          </w:tcPr>
          <w:p w14:paraId="716C5DAF" w14:textId="77777777" w:rsidR="00007514" w:rsidRPr="00007514" w:rsidRDefault="00007514" w:rsidP="00007514">
            <w:pPr>
              <w:spacing w:before="40" w:after="40" w:line="240" w:lineRule="auto"/>
              <w:ind w:firstLine="720"/>
              <w:jc w:val="center"/>
              <w:rPr>
                <w:rFonts w:ascii="Times New Roman" w:eastAsia="Calibri" w:hAnsi="Times New Roman" w:cs="Times New Roman"/>
                <w:b/>
                <w:bCs/>
                <w:color w:val="000000"/>
                <w:sz w:val="24"/>
                <w:szCs w:val="24"/>
                <w:lang w:eastAsia="ru-RU"/>
              </w:rPr>
            </w:pPr>
          </w:p>
        </w:tc>
      </w:tr>
      <w:tr w:rsidR="00007514" w:rsidRPr="00007514" w14:paraId="0C869963" w14:textId="77777777" w:rsidTr="00A1680F">
        <w:trPr>
          <w:trHeight w:val="20"/>
        </w:trPr>
        <w:tc>
          <w:tcPr>
            <w:tcW w:w="709" w:type="dxa"/>
            <w:tcBorders>
              <w:top w:val="single" w:sz="4" w:space="0" w:color="A6A6A6"/>
              <w:left w:val="single" w:sz="4" w:space="0" w:color="A6A6A6"/>
              <w:bottom w:val="single" w:sz="4" w:space="0" w:color="A6A6A6"/>
              <w:right w:val="single" w:sz="4" w:space="0" w:color="A6A6A6"/>
            </w:tcBorders>
          </w:tcPr>
          <w:p w14:paraId="39FADC5B"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p>
        </w:tc>
        <w:tc>
          <w:tcPr>
            <w:tcW w:w="7088" w:type="dxa"/>
            <w:tcBorders>
              <w:top w:val="single" w:sz="4" w:space="0" w:color="A6A6A6"/>
              <w:left w:val="single" w:sz="4" w:space="0" w:color="A6A6A6"/>
              <w:bottom w:val="single" w:sz="4" w:space="0" w:color="A6A6A6"/>
              <w:right w:val="single" w:sz="4" w:space="0" w:color="A6A6A6"/>
            </w:tcBorders>
            <w:vAlign w:val="center"/>
          </w:tcPr>
          <w:p w14:paraId="67E471D0" w14:textId="77777777" w:rsidR="00007514" w:rsidRPr="00007514" w:rsidRDefault="00007514" w:rsidP="00007514">
            <w:pPr>
              <w:spacing w:before="40" w:after="40" w:line="240" w:lineRule="auto"/>
              <w:ind w:left="172" w:firstLine="4"/>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 Да, разработан </w:t>
            </w:r>
          </w:p>
        </w:tc>
        <w:tc>
          <w:tcPr>
            <w:tcW w:w="567" w:type="dxa"/>
            <w:tcBorders>
              <w:top w:val="single" w:sz="4" w:space="0" w:color="A6A6A6"/>
              <w:left w:val="single" w:sz="4" w:space="0" w:color="A6A6A6"/>
              <w:bottom w:val="single" w:sz="4" w:space="0" w:color="A6A6A6"/>
              <w:right w:val="single" w:sz="4" w:space="0" w:color="A6A6A6"/>
            </w:tcBorders>
            <w:vAlign w:val="center"/>
          </w:tcPr>
          <w:p w14:paraId="41EF21D6"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1</w:t>
            </w:r>
          </w:p>
        </w:tc>
        <w:tc>
          <w:tcPr>
            <w:tcW w:w="567" w:type="dxa"/>
            <w:tcBorders>
              <w:top w:val="single" w:sz="4" w:space="0" w:color="A6A6A6"/>
              <w:left w:val="single" w:sz="4" w:space="0" w:color="A6A6A6"/>
              <w:bottom w:val="single" w:sz="4" w:space="0" w:color="A6A6A6"/>
              <w:right w:val="single" w:sz="4" w:space="0" w:color="A6A6A6"/>
            </w:tcBorders>
            <w:vAlign w:val="center"/>
          </w:tcPr>
          <w:p w14:paraId="0DF1F07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c>
          <w:tcPr>
            <w:tcW w:w="567" w:type="dxa"/>
            <w:tcBorders>
              <w:top w:val="single" w:sz="4" w:space="0" w:color="A6A6A6"/>
              <w:left w:val="single" w:sz="4" w:space="0" w:color="A6A6A6"/>
              <w:bottom w:val="single" w:sz="4" w:space="0" w:color="A6A6A6"/>
              <w:right w:val="single" w:sz="4" w:space="0" w:color="A6A6A6"/>
            </w:tcBorders>
            <w:vAlign w:val="center"/>
          </w:tcPr>
          <w:p w14:paraId="15A24039"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0,5</w:t>
            </w:r>
          </w:p>
        </w:tc>
      </w:tr>
      <w:tr w:rsidR="00007514" w:rsidRPr="00007514" w14:paraId="345302E8" w14:textId="77777777" w:rsidTr="00A1680F">
        <w:trPr>
          <w:trHeight w:val="20"/>
        </w:trPr>
        <w:tc>
          <w:tcPr>
            <w:tcW w:w="709" w:type="dxa"/>
            <w:tcBorders>
              <w:top w:val="single" w:sz="4" w:space="0" w:color="A6A6A6"/>
              <w:left w:val="single" w:sz="4" w:space="0" w:color="A6A6A6"/>
              <w:bottom w:val="single" w:sz="4" w:space="0" w:color="A6A6A6"/>
              <w:right w:val="single" w:sz="4" w:space="0" w:color="A6A6A6"/>
            </w:tcBorders>
          </w:tcPr>
          <w:p w14:paraId="22B713CE" w14:textId="77777777" w:rsidR="00007514" w:rsidRPr="00007514" w:rsidRDefault="00007514" w:rsidP="00007514">
            <w:pPr>
              <w:spacing w:before="40" w:after="40" w:line="240" w:lineRule="auto"/>
              <w:ind w:firstLine="720"/>
              <w:jc w:val="center"/>
              <w:rPr>
                <w:rFonts w:ascii="Times New Roman" w:eastAsia="Calibri" w:hAnsi="Times New Roman" w:cs="Times New Roman"/>
                <w:color w:val="000000"/>
                <w:sz w:val="24"/>
                <w:szCs w:val="24"/>
                <w:lang w:eastAsia="ru-RU"/>
              </w:rPr>
            </w:pPr>
          </w:p>
        </w:tc>
        <w:tc>
          <w:tcPr>
            <w:tcW w:w="7088" w:type="dxa"/>
            <w:tcBorders>
              <w:top w:val="single" w:sz="4" w:space="0" w:color="A6A6A6"/>
              <w:left w:val="single" w:sz="4" w:space="0" w:color="A6A6A6"/>
              <w:bottom w:val="single" w:sz="4" w:space="0" w:color="A6A6A6"/>
              <w:right w:val="single" w:sz="4" w:space="0" w:color="A6A6A6"/>
            </w:tcBorders>
            <w:vAlign w:val="center"/>
          </w:tcPr>
          <w:p w14:paraId="647F7916" w14:textId="77777777" w:rsidR="00007514" w:rsidRPr="00007514" w:rsidRDefault="00007514" w:rsidP="00007514">
            <w:pPr>
              <w:spacing w:before="40" w:after="40" w:line="240" w:lineRule="auto"/>
              <w:ind w:left="172" w:firstLine="4"/>
              <w:jc w:val="both"/>
              <w:rPr>
                <w:rFonts w:ascii="Times New Roman" w:eastAsia="Calibri" w:hAnsi="Times New Roman" w:cs="Times New Roman"/>
                <w:i/>
                <w:color w:val="000000"/>
                <w:sz w:val="24"/>
                <w:szCs w:val="24"/>
                <w:lang w:eastAsia="ru-RU"/>
              </w:rPr>
            </w:pPr>
            <w:r w:rsidRPr="00007514">
              <w:rPr>
                <w:rFonts w:ascii="Times New Roman" w:eastAsia="Calibri" w:hAnsi="Times New Roman" w:cs="Times New Roman"/>
                <w:i/>
                <w:color w:val="000000"/>
                <w:sz w:val="24"/>
                <w:szCs w:val="24"/>
                <w:lang w:eastAsia="ru-RU"/>
              </w:rPr>
              <w:t xml:space="preserve">Нет, не разработан, </w:t>
            </w:r>
            <w:r w:rsidRPr="00007514">
              <w:rPr>
                <w:rFonts w:ascii="Times New Roman" w:eastAsia="Calibri" w:hAnsi="Times New Roman" w:cs="Times New Roman"/>
                <w:i/>
                <w:color w:val="0070C0"/>
                <w:sz w:val="24"/>
                <w:szCs w:val="24"/>
                <w:lang w:eastAsia="ru-RU"/>
              </w:rPr>
              <w:t>или не соответствует требованиям</w:t>
            </w:r>
            <w:r w:rsidRPr="00007514">
              <w:rPr>
                <w:rFonts w:ascii="Times New Roman" w:eastAsia="Calibri" w:hAnsi="Times New Roman" w:cs="Times New Roman"/>
                <w:i/>
                <w:color w:val="000000"/>
                <w:sz w:val="24"/>
                <w:szCs w:val="24"/>
                <w:lang w:eastAsia="ru-RU"/>
              </w:rPr>
              <w:t>, или отсутствует в открытом доступе в установленный срок</w:t>
            </w:r>
          </w:p>
        </w:tc>
        <w:tc>
          <w:tcPr>
            <w:tcW w:w="567" w:type="dxa"/>
            <w:tcBorders>
              <w:top w:val="single" w:sz="4" w:space="0" w:color="A6A6A6"/>
              <w:left w:val="single" w:sz="4" w:space="0" w:color="A6A6A6"/>
              <w:bottom w:val="single" w:sz="4" w:space="0" w:color="A6A6A6"/>
              <w:right w:val="single" w:sz="4" w:space="0" w:color="A6A6A6"/>
            </w:tcBorders>
            <w:vAlign w:val="center"/>
          </w:tcPr>
          <w:p w14:paraId="09552420"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r w:rsidRPr="00007514">
              <w:rPr>
                <w:rFonts w:ascii="Times New Roman" w:eastAsia="Calibri" w:hAnsi="Times New Roman" w:cs="Times New Roman"/>
                <w:color w:val="000000"/>
                <w:sz w:val="24"/>
                <w:szCs w:val="24"/>
                <w:lang w:eastAsia="ru-RU"/>
              </w:rPr>
              <w:t>0</w:t>
            </w:r>
          </w:p>
        </w:tc>
        <w:tc>
          <w:tcPr>
            <w:tcW w:w="567" w:type="dxa"/>
            <w:tcBorders>
              <w:top w:val="single" w:sz="4" w:space="0" w:color="A6A6A6"/>
              <w:left w:val="single" w:sz="4" w:space="0" w:color="A6A6A6"/>
              <w:bottom w:val="single" w:sz="4" w:space="0" w:color="A6A6A6"/>
              <w:right w:val="single" w:sz="4" w:space="0" w:color="A6A6A6"/>
            </w:tcBorders>
            <w:vAlign w:val="center"/>
          </w:tcPr>
          <w:p w14:paraId="22579F04"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c>
          <w:tcPr>
            <w:tcW w:w="567" w:type="dxa"/>
            <w:tcBorders>
              <w:top w:val="single" w:sz="4" w:space="0" w:color="A6A6A6"/>
              <w:left w:val="single" w:sz="4" w:space="0" w:color="A6A6A6"/>
              <w:bottom w:val="single" w:sz="4" w:space="0" w:color="A6A6A6"/>
              <w:right w:val="single" w:sz="4" w:space="0" w:color="A6A6A6"/>
            </w:tcBorders>
            <w:vAlign w:val="center"/>
          </w:tcPr>
          <w:p w14:paraId="167C298F" w14:textId="77777777" w:rsidR="00007514" w:rsidRPr="00007514" w:rsidRDefault="00007514" w:rsidP="00007514">
            <w:pPr>
              <w:spacing w:before="40" w:after="40" w:line="240" w:lineRule="auto"/>
              <w:jc w:val="center"/>
              <w:rPr>
                <w:rFonts w:ascii="Times New Roman" w:eastAsia="Calibri" w:hAnsi="Times New Roman" w:cs="Times New Roman"/>
                <w:color w:val="000000"/>
                <w:sz w:val="24"/>
                <w:szCs w:val="24"/>
                <w:lang w:eastAsia="ru-RU"/>
              </w:rPr>
            </w:pPr>
          </w:p>
        </w:tc>
      </w:tr>
    </w:tbl>
    <w:p w14:paraId="6FA33B58"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lang w:val="en-US"/>
        </w:rPr>
      </w:pPr>
    </w:p>
    <w:p w14:paraId="6ED878DD" w14:textId="4B937DB6" w:rsidR="00E4286C" w:rsidRPr="000B583A" w:rsidRDefault="00E4286C" w:rsidP="00E4286C">
      <w:pPr>
        <w:pStyle w:val="a7"/>
        <w:numPr>
          <w:ilvl w:val="1"/>
          <w:numId w:val="18"/>
        </w:numPr>
        <w:tabs>
          <w:tab w:val="left" w:pos="1418"/>
        </w:tabs>
        <w:spacing w:before="120"/>
        <w:ind w:left="0" w:firstLine="709"/>
        <w:rPr>
          <w:rFonts w:eastAsia="Calibri" w:cs="Times New Roman"/>
          <w:bCs/>
          <w:color w:val="000000"/>
          <w:lang w:val="ru-RU"/>
        </w:rPr>
      </w:pPr>
      <w:r w:rsidRPr="000B583A">
        <w:rPr>
          <w:rFonts w:eastAsia="Calibri" w:cs="Times New Roman"/>
          <w:bCs/>
          <w:color w:val="000000"/>
          <w:lang w:val="ru-RU"/>
        </w:rPr>
        <w:t>Показатели 6.2, 6.6, 6.10</w:t>
      </w:r>
    </w:p>
    <w:p w14:paraId="5D919209" w14:textId="01A19633" w:rsidR="00007514" w:rsidRPr="00705767" w:rsidRDefault="00007514" w:rsidP="00E4286C">
      <w:pPr>
        <w:pStyle w:val="a7"/>
        <w:tabs>
          <w:tab w:val="left" w:pos="1418"/>
        </w:tabs>
        <w:ind w:left="709" w:firstLine="0"/>
        <w:rPr>
          <w:rFonts w:eastAsia="Calibri" w:cs="Times New Roman"/>
          <w:bCs/>
          <w:color w:val="000000"/>
          <w:lang w:val="ru-RU"/>
        </w:rPr>
      </w:pPr>
      <w:r w:rsidRPr="00705767">
        <w:rPr>
          <w:rFonts w:eastAsia="Calibri" w:cs="Times New Roman"/>
          <w:bCs/>
          <w:color w:val="000000"/>
          <w:lang w:val="ru-RU"/>
        </w:rPr>
        <w:t>Предлагается:</w:t>
      </w:r>
    </w:p>
    <w:p w14:paraId="349C46B3" w14:textId="77777777" w:rsidR="00007514" w:rsidRPr="00007514" w:rsidRDefault="00007514" w:rsidP="00007514">
      <w:pPr>
        <w:tabs>
          <w:tab w:val="left" w:pos="1276"/>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а) дополнить перечень сведений, которые не учитываются в целях оценки показателей, следующими категориями: «стенограммы», «информация, размещенная в социальных сетях»;</w:t>
      </w:r>
    </w:p>
    <w:p w14:paraId="44B725DD" w14:textId="441FE4CB" w:rsidR="00007514" w:rsidRPr="00007514" w:rsidRDefault="00007514" w:rsidP="00007514">
      <w:pPr>
        <w:tabs>
          <w:tab w:val="left" w:pos="1276"/>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б) ограничить количество направляемых в НИФИ сведений для оценки каждого показателя пятью позициями</w:t>
      </w:r>
      <w:r w:rsidR="003C328E">
        <w:rPr>
          <w:rFonts w:ascii="Times New Roman" w:eastAsia="Calibri" w:hAnsi="Times New Roman" w:cs="Times New Roman"/>
          <w:bCs/>
          <w:color w:val="000000"/>
          <w:sz w:val="28"/>
          <w:szCs w:val="28"/>
        </w:rPr>
        <w:t>, предусмотрев при этом право эксперта оценивать первые пять позиций в случае, если их направлено больше</w:t>
      </w:r>
      <w:r w:rsidR="008E6BE4">
        <w:rPr>
          <w:rFonts w:ascii="Times New Roman" w:eastAsia="Calibri" w:hAnsi="Times New Roman" w:cs="Times New Roman"/>
          <w:bCs/>
          <w:color w:val="000000"/>
          <w:sz w:val="28"/>
          <w:szCs w:val="28"/>
        </w:rPr>
        <w:t>.</w:t>
      </w:r>
      <w:r w:rsidR="002B04FC">
        <w:rPr>
          <w:rFonts w:ascii="Times New Roman" w:eastAsia="Calibri" w:hAnsi="Times New Roman" w:cs="Times New Roman"/>
          <w:bCs/>
          <w:color w:val="000000"/>
          <w:sz w:val="28"/>
          <w:szCs w:val="28"/>
        </w:rPr>
        <w:t xml:space="preserve"> </w:t>
      </w:r>
    </w:p>
    <w:p w14:paraId="4134671A"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Оценка показателей 6.2, 6.6, 6.10 осуществляется на основе сведений, направляемых субъектами Российской Федерации в адрес НИФИ. На практике значительная часть сведений, о которых сообщают субъекты Российской Федерации, не отвечает требованиям к оценке соответствующих показателей. Предложение направлено на сокращение трудоемкости оценки показателей 6.2, 6.6, 6.10. </w:t>
      </w:r>
    </w:p>
    <w:p w14:paraId="2D41A1F5" w14:textId="77777777" w:rsidR="0051564A" w:rsidRPr="000B583A" w:rsidRDefault="00007514" w:rsidP="008E6BE4">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6.3, 6.7, 6.11</w:t>
      </w:r>
    </w:p>
    <w:p w14:paraId="126425CB" w14:textId="72563E4C" w:rsidR="00007514" w:rsidRPr="001D2CAF" w:rsidRDefault="00007514" w:rsidP="0051564A">
      <w:pPr>
        <w:pStyle w:val="a7"/>
        <w:tabs>
          <w:tab w:val="left" w:pos="1418"/>
        </w:tabs>
        <w:snapToGrid w:val="0"/>
        <w:ind w:left="709" w:firstLine="0"/>
        <w:contextualSpacing w:val="0"/>
        <w:rPr>
          <w:rFonts w:eastAsia="Calibri" w:cs="Times New Roman"/>
          <w:bCs/>
          <w:color w:val="000000"/>
          <w:lang w:val="ru-RU"/>
        </w:rPr>
      </w:pPr>
      <w:r w:rsidRPr="001D2CAF">
        <w:rPr>
          <w:rFonts w:eastAsia="Calibri" w:cs="Times New Roman"/>
          <w:bCs/>
          <w:color w:val="000000"/>
          <w:lang w:val="ru-RU"/>
        </w:rPr>
        <w:t>Предлагается:</w:t>
      </w:r>
    </w:p>
    <w:p w14:paraId="270A8BF4" w14:textId="77777777" w:rsidR="00007514" w:rsidRPr="00007514" w:rsidRDefault="00007514" w:rsidP="00007514">
      <w:pPr>
        <w:tabs>
          <w:tab w:val="left" w:pos="1276"/>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а) дополнить перечень сведений, которые не учитываются в целях оценки показателей, следующей категорией: «трансляции и (или) запись публичных слушаний (общественных обсуждений)»;</w:t>
      </w:r>
    </w:p>
    <w:p w14:paraId="5AA7D3C0" w14:textId="3BCA7167" w:rsidR="00007514" w:rsidRPr="00007514" w:rsidRDefault="00007514" w:rsidP="00007514">
      <w:pPr>
        <w:tabs>
          <w:tab w:val="left" w:pos="1276"/>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б) ограничить количество направляемых в НИФИ сведений для оценки каждого показателя пятью позициями</w:t>
      </w:r>
      <w:r w:rsidR="008E6BE4">
        <w:rPr>
          <w:rFonts w:ascii="Times New Roman" w:eastAsia="Calibri" w:hAnsi="Times New Roman" w:cs="Times New Roman"/>
          <w:bCs/>
          <w:color w:val="000000"/>
          <w:sz w:val="28"/>
          <w:szCs w:val="28"/>
        </w:rPr>
        <w:t>,</w:t>
      </w:r>
      <w:r w:rsidR="008E6BE4" w:rsidRPr="008E6BE4">
        <w:rPr>
          <w:rFonts w:ascii="Times New Roman" w:eastAsia="Calibri" w:hAnsi="Times New Roman" w:cs="Times New Roman"/>
          <w:bCs/>
          <w:color w:val="000000"/>
          <w:sz w:val="28"/>
          <w:szCs w:val="28"/>
        </w:rPr>
        <w:t xml:space="preserve"> </w:t>
      </w:r>
      <w:r w:rsidR="008E6BE4">
        <w:rPr>
          <w:rFonts w:ascii="Times New Roman" w:eastAsia="Calibri" w:hAnsi="Times New Roman" w:cs="Times New Roman"/>
          <w:bCs/>
          <w:color w:val="000000"/>
          <w:sz w:val="28"/>
          <w:szCs w:val="28"/>
        </w:rPr>
        <w:t>предусмотрев при этом право эксперта оценивать первые пять позиций в случае, если их направлено больше</w:t>
      </w:r>
      <w:r w:rsidRPr="00007514">
        <w:rPr>
          <w:rFonts w:ascii="Times New Roman" w:eastAsia="Calibri" w:hAnsi="Times New Roman" w:cs="Times New Roman"/>
          <w:bCs/>
          <w:color w:val="000000"/>
          <w:sz w:val="28"/>
          <w:szCs w:val="28"/>
        </w:rPr>
        <w:t>.</w:t>
      </w:r>
      <w:r w:rsidR="0028576D">
        <w:rPr>
          <w:rFonts w:ascii="Times New Roman" w:eastAsia="Calibri" w:hAnsi="Times New Roman" w:cs="Times New Roman"/>
          <w:bCs/>
          <w:color w:val="000000"/>
          <w:sz w:val="28"/>
          <w:szCs w:val="28"/>
        </w:rPr>
        <w:t xml:space="preserve"> </w:t>
      </w:r>
    </w:p>
    <w:p w14:paraId="73734ADB"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Оценка показателей 6.3, 6.7, 6.11 осуществляется на основе сведений, направляемых субъектами Российской Федерации в адрес НИФИ. На практике </w:t>
      </w:r>
      <w:r w:rsidRPr="00007514">
        <w:rPr>
          <w:rFonts w:ascii="Times New Roman" w:eastAsia="Calibri" w:hAnsi="Times New Roman" w:cs="Times New Roman"/>
          <w:bCs/>
          <w:color w:val="000000"/>
          <w:sz w:val="28"/>
          <w:szCs w:val="28"/>
        </w:rPr>
        <w:lastRenderedPageBreak/>
        <w:t xml:space="preserve">значительная часть сведений, о которых сообщают субъекты Российской Федерации, не отвечает требованиям к оценке соответствующих показателей. Предложение направлено на сокращение трудоемкости оценки показателей 6.3, 6.7, 6.11. </w:t>
      </w:r>
    </w:p>
    <w:p w14:paraId="152700C3" w14:textId="77777777" w:rsidR="0051564A" w:rsidRPr="000B583A" w:rsidRDefault="00007514" w:rsidP="008E6BE4">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6.5, 6.9</w:t>
      </w:r>
    </w:p>
    <w:p w14:paraId="290BB928" w14:textId="1A0EA4AF" w:rsidR="00007514" w:rsidRPr="001D2CAF" w:rsidRDefault="00007514" w:rsidP="0051564A">
      <w:pPr>
        <w:pStyle w:val="a7"/>
        <w:tabs>
          <w:tab w:val="left" w:pos="1418"/>
        </w:tabs>
        <w:snapToGrid w:val="0"/>
        <w:ind w:left="0" w:firstLine="709"/>
        <w:contextualSpacing w:val="0"/>
        <w:rPr>
          <w:rFonts w:eastAsia="Calibri" w:cs="Times New Roman"/>
          <w:bCs/>
          <w:color w:val="000000"/>
          <w:lang w:val="ru-RU"/>
        </w:rPr>
      </w:pPr>
      <w:r w:rsidRPr="001D2CAF">
        <w:rPr>
          <w:rFonts w:eastAsia="Calibri" w:cs="Times New Roman"/>
          <w:bCs/>
          <w:color w:val="000000"/>
          <w:lang w:val="ru-RU"/>
        </w:rPr>
        <w:t xml:space="preserve">Предлагается увеличить срок, в течение которого «бюджет для граждан» должен быть доступен до дня проведения публичных слушаний (общественных обсуждений) по проекту бюджета или годовому отчету об исполнении бюджета, до пяти календарных дней.  </w:t>
      </w:r>
    </w:p>
    <w:p w14:paraId="41CB0846" w14:textId="3E73E14C" w:rsidR="00007514" w:rsidRPr="00007514" w:rsidRDefault="00007514" w:rsidP="00007514">
      <w:pPr>
        <w:tabs>
          <w:tab w:val="left" w:pos="1276"/>
        </w:tabs>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Ранее допускалось размещение в открытом доступе «бюджета для граждан» не менее чем за один день до проведения публичных слушаний (общественных обсуждений) по проекту бюджета или годовому отчету об исполнении бюджета. </w:t>
      </w:r>
      <w:r w:rsidR="008E6BE4">
        <w:rPr>
          <w:rFonts w:ascii="Times New Roman" w:eastAsia="Calibri" w:hAnsi="Times New Roman" w:cs="Times New Roman"/>
          <w:bCs/>
          <w:color w:val="000000"/>
          <w:sz w:val="28"/>
          <w:szCs w:val="28"/>
        </w:rPr>
        <w:t>Представляется</w:t>
      </w:r>
      <w:r w:rsidRPr="00007514">
        <w:rPr>
          <w:rFonts w:ascii="Times New Roman" w:eastAsia="Calibri" w:hAnsi="Times New Roman" w:cs="Times New Roman"/>
          <w:bCs/>
          <w:color w:val="000000"/>
          <w:sz w:val="28"/>
          <w:szCs w:val="28"/>
        </w:rPr>
        <w:t xml:space="preserve">, что одного дня для подготовки к мероприятию недостаточно, так как проект бюджета или годовой отчет об исполнении бюджета представляет собой достаточно объемный документ. </w:t>
      </w:r>
    </w:p>
    <w:p w14:paraId="25094FFB"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Предложение направлено на повышение практической значимости «бюджетов для граждан», разрабатываемых финансовыми органами субъектов Российской Федерации. </w:t>
      </w:r>
    </w:p>
    <w:p w14:paraId="714E0EE5"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Предложение коррелирует с предложенным сроком анонсирования публичных слушаний (общественных обсуждений) по проекту бюджета и годовому отчету об исполнении бюджета (см. предлагаемые изменения по показателям 4.13, 5.13). </w:t>
      </w:r>
    </w:p>
    <w:p w14:paraId="503C3D1A" w14:textId="77777777" w:rsidR="0051564A" w:rsidRPr="000B583A" w:rsidRDefault="00007514" w:rsidP="008E6BE4">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 6.12</w:t>
      </w:r>
    </w:p>
    <w:p w14:paraId="5A9E68AB" w14:textId="1D3E5338" w:rsidR="00007514" w:rsidRPr="001D2CAF" w:rsidRDefault="00007514" w:rsidP="0051564A">
      <w:pPr>
        <w:pStyle w:val="a7"/>
        <w:snapToGrid w:val="0"/>
        <w:ind w:left="0" w:firstLine="709"/>
        <w:contextualSpacing w:val="0"/>
        <w:rPr>
          <w:rFonts w:eastAsia="Calibri" w:cs="Times New Roman"/>
          <w:bCs/>
          <w:color w:val="000000"/>
          <w:lang w:val="ru-RU"/>
        </w:rPr>
      </w:pPr>
      <w:r w:rsidRPr="001D2CAF">
        <w:rPr>
          <w:rFonts w:eastAsia="Calibri" w:cs="Times New Roman"/>
          <w:bCs/>
          <w:color w:val="000000"/>
          <w:lang w:val="ru-RU"/>
        </w:rPr>
        <w:t xml:space="preserve">Предлагается дополнить рекомендацией в части использования стандартного обозначения программного кода («счетчика посещений»), а также предусмотреть возможность применения к оценке показателя понижающего коэффициента, используемого в связи с затрудненным поиском бюджетных данных. </w:t>
      </w:r>
    </w:p>
    <w:p w14:paraId="0A223D2B"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lastRenderedPageBreak/>
        <w:t>Изменение стандартного обозначения программного кода («счетчика посещений») приводит к затруднениям в его поиске. Предложение направлено на исключение подобных случаев из практики.</w:t>
      </w:r>
    </w:p>
    <w:p w14:paraId="7E59D279" w14:textId="77777777" w:rsidR="0051564A" w:rsidRPr="000B583A" w:rsidRDefault="00007514" w:rsidP="008E6BE4">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 6.13</w:t>
      </w:r>
    </w:p>
    <w:p w14:paraId="5E915450" w14:textId="61F94D34" w:rsidR="00007514" w:rsidRPr="001D2CAF" w:rsidRDefault="00007514" w:rsidP="0051564A">
      <w:pPr>
        <w:pStyle w:val="a7"/>
        <w:tabs>
          <w:tab w:val="left" w:pos="1418"/>
        </w:tabs>
        <w:snapToGrid w:val="0"/>
        <w:ind w:left="0" w:firstLine="709"/>
        <w:contextualSpacing w:val="0"/>
        <w:rPr>
          <w:rFonts w:eastAsia="Calibri" w:cs="Times New Roman"/>
          <w:bCs/>
          <w:color w:val="000000"/>
          <w:lang w:val="ru-RU"/>
        </w:rPr>
      </w:pPr>
      <w:r w:rsidRPr="001D2CAF">
        <w:rPr>
          <w:rFonts w:eastAsia="Calibri" w:cs="Times New Roman"/>
          <w:bCs/>
          <w:color w:val="000000"/>
          <w:lang w:val="ru-RU"/>
        </w:rPr>
        <w:t>Предлагается уточнить, что конкурсные работы победителей оцениваются в случае их размещения на сайте до 31 декабря 2022 г</w:t>
      </w:r>
      <w:r w:rsidR="008E6BE4">
        <w:rPr>
          <w:rFonts w:eastAsia="Calibri" w:cs="Times New Roman"/>
          <w:bCs/>
          <w:color w:val="000000"/>
          <w:lang w:val="ru-RU"/>
        </w:rPr>
        <w:t>ода</w:t>
      </w:r>
      <w:r w:rsidRPr="001D2CAF">
        <w:rPr>
          <w:rFonts w:eastAsia="Calibri" w:cs="Times New Roman"/>
          <w:bCs/>
          <w:color w:val="000000"/>
          <w:lang w:val="ru-RU"/>
        </w:rPr>
        <w:t>.</w:t>
      </w:r>
    </w:p>
    <w:p w14:paraId="085C7C06"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Предложение имеет уточняющий характер. Установление срока имеет значение для составления рейтинга, мониторинг и оценка показателей завершаются в определенный момент времени.</w:t>
      </w:r>
    </w:p>
    <w:p w14:paraId="21429E4D" w14:textId="77777777" w:rsidR="0051564A" w:rsidRPr="000B583A" w:rsidRDefault="0051564A" w:rsidP="0051564A">
      <w:pPr>
        <w:pStyle w:val="a7"/>
        <w:keepNext/>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 9.1</w:t>
      </w:r>
    </w:p>
    <w:p w14:paraId="5F0EA86D" w14:textId="39D185BE" w:rsidR="00007514" w:rsidRPr="001D2CAF" w:rsidRDefault="00007514" w:rsidP="0051564A">
      <w:pPr>
        <w:pStyle w:val="a7"/>
        <w:tabs>
          <w:tab w:val="left" w:pos="1418"/>
        </w:tabs>
        <w:snapToGrid w:val="0"/>
        <w:ind w:left="709" w:firstLine="0"/>
        <w:contextualSpacing w:val="0"/>
        <w:rPr>
          <w:rFonts w:eastAsia="Calibri" w:cs="Times New Roman"/>
          <w:bCs/>
          <w:color w:val="000000"/>
          <w:lang w:val="ru-RU"/>
        </w:rPr>
      </w:pPr>
      <w:r w:rsidRPr="001D2CAF">
        <w:rPr>
          <w:rFonts w:eastAsia="Calibri" w:cs="Times New Roman"/>
          <w:bCs/>
          <w:color w:val="000000"/>
          <w:lang w:val="ru-RU"/>
        </w:rPr>
        <w:t>Предлагается установить, что:</w:t>
      </w:r>
    </w:p>
    <w:p w14:paraId="50604AEB" w14:textId="77777777" w:rsidR="00007514" w:rsidRPr="00007514" w:rsidRDefault="00007514" w:rsidP="00007514">
      <w:pPr>
        <w:numPr>
          <w:ilvl w:val="0"/>
          <w:numId w:val="8"/>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 в целях оценки показателя 9.1 учитываются сведения, размещенные на сайте до 1 октября текущего года;</w:t>
      </w:r>
    </w:p>
    <w:p w14:paraId="1926F3BD" w14:textId="77777777" w:rsidR="00007514" w:rsidRPr="00007514" w:rsidRDefault="00007514" w:rsidP="00007514">
      <w:pPr>
        <w:numPr>
          <w:ilvl w:val="0"/>
          <w:numId w:val="8"/>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изменения порядка формирования общественного совета и (или) регламента (порядка) его работы, формирование или утверждение нового состава общественного совета, создание общественного совета в </w:t>
      </w:r>
      <w:r w:rsidRPr="00007514">
        <w:rPr>
          <w:rFonts w:ascii="Times New Roman" w:eastAsia="Calibri" w:hAnsi="Times New Roman" w:cs="Times New Roman"/>
          <w:bCs/>
          <w:color w:val="000000"/>
          <w:sz w:val="28"/>
          <w:szCs w:val="28"/>
          <w:lang w:val="en-US"/>
        </w:rPr>
        <w:t>IV</w:t>
      </w:r>
      <w:r w:rsidRPr="00007514">
        <w:rPr>
          <w:rFonts w:ascii="Times New Roman" w:eastAsia="Calibri" w:hAnsi="Times New Roman" w:cs="Times New Roman"/>
          <w:bCs/>
          <w:color w:val="000000"/>
          <w:sz w:val="28"/>
          <w:szCs w:val="28"/>
        </w:rPr>
        <w:t xml:space="preserve"> квартале текущего года в целях оценки показателя не учитываются.</w:t>
      </w:r>
    </w:p>
    <w:p w14:paraId="06614F63" w14:textId="77777777" w:rsidR="00007514" w:rsidRPr="00007514" w:rsidRDefault="00007514" w:rsidP="00007514">
      <w:pPr>
        <w:tabs>
          <w:tab w:val="left" w:pos="1134"/>
        </w:tabs>
        <w:spacing w:after="0" w:line="360" w:lineRule="auto"/>
        <w:ind w:firstLine="709"/>
        <w:contextualSpacing/>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Установление срока имеет значение для составления рейтинга, мониторинг и оценка показателей завершаются в определенный момент времени. Ограничение по времени обосновано тем, что оцениваются условия, в которых общественный совет работал большую часть года.</w:t>
      </w:r>
    </w:p>
    <w:p w14:paraId="601046D9" w14:textId="77777777" w:rsidR="0051564A" w:rsidRPr="000B583A" w:rsidRDefault="00007514" w:rsidP="008E6BE4">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Показатели 9.3, 9.4</w:t>
      </w:r>
    </w:p>
    <w:p w14:paraId="30D631E5" w14:textId="77777777" w:rsidR="00326167" w:rsidRDefault="00007514" w:rsidP="00326167">
      <w:pPr>
        <w:pStyle w:val="a7"/>
        <w:tabs>
          <w:tab w:val="left" w:pos="1418"/>
        </w:tabs>
        <w:snapToGrid w:val="0"/>
        <w:ind w:left="0" w:firstLine="709"/>
        <w:contextualSpacing w:val="0"/>
        <w:rPr>
          <w:rFonts w:eastAsia="Calibri" w:cs="Times New Roman"/>
          <w:bCs/>
          <w:color w:val="000000"/>
          <w:lang w:val="ru-RU"/>
        </w:rPr>
      </w:pPr>
      <w:r w:rsidRPr="001D2CAF">
        <w:rPr>
          <w:rFonts w:eastAsia="Calibri" w:cs="Times New Roman"/>
          <w:bCs/>
          <w:color w:val="000000"/>
          <w:lang w:val="ru-RU"/>
        </w:rPr>
        <w:t xml:space="preserve">В шкале для оценки показателей предлагается </w:t>
      </w:r>
      <w:r w:rsidR="0051564A">
        <w:rPr>
          <w:rFonts w:eastAsia="Calibri" w:cs="Times New Roman"/>
          <w:bCs/>
          <w:color w:val="000000"/>
          <w:lang w:val="ru-RU"/>
        </w:rPr>
        <w:t>указать дополнительно случай</w:t>
      </w:r>
      <w:r w:rsidRPr="001D2CAF">
        <w:rPr>
          <w:rFonts w:eastAsia="Calibri" w:cs="Times New Roman"/>
          <w:bCs/>
          <w:color w:val="000000"/>
          <w:lang w:val="ru-RU"/>
        </w:rPr>
        <w:t>, когда о</w:t>
      </w:r>
      <w:r w:rsidR="00326167">
        <w:rPr>
          <w:rFonts w:eastAsia="Calibri" w:cs="Times New Roman"/>
          <w:bCs/>
          <w:color w:val="000000"/>
          <w:lang w:val="ru-RU"/>
        </w:rPr>
        <w:t xml:space="preserve">ценка показателя 9.1 равна нулю. </w:t>
      </w:r>
    </w:p>
    <w:p w14:paraId="568A5D13" w14:textId="09013B3C" w:rsidR="00007514" w:rsidRPr="00326167" w:rsidRDefault="00007514" w:rsidP="00326167">
      <w:pPr>
        <w:pStyle w:val="a7"/>
        <w:tabs>
          <w:tab w:val="left" w:pos="1418"/>
        </w:tabs>
        <w:snapToGrid w:val="0"/>
        <w:ind w:left="0" w:firstLine="709"/>
        <w:contextualSpacing w:val="0"/>
        <w:rPr>
          <w:rFonts w:eastAsia="Calibri" w:cs="Times New Roman"/>
          <w:bCs/>
          <w:color w:val="000000"/>
          <w:lang w:val="ru-RU"/>
        </w:rPr>
      </w:pPr>
      <w:r w:rsidRPr="00326167">
        <w:rPr>
          <w:rFonts w:eastAsia="Calibri" w:cs="Times New Roman"/>
          <w:bCs/>
          <w:color w:val="000000"/>
          <w:lang w:val="ru-RU"/>
        </w:rPr>
        <w:t>Предложение имеет редакционный характер, поскольку в описании показателей 9.3, 9.4 предусмотрено, что они оцениваются в случае</w:t>
      </w:r>
      <w:r w:rsidR="00CF200B">
        <w:rPr>
          <w:rFonts w:eastAsia="Calibri" w:cs="Times New Roman"/>
          <w:bCs/>
          <w:color w:val="000000"/>
          <w:lang w:val="ru-RU"/>
        </w:rPr>
        <w:t>,</w:t>
      </w:r>
      <w:r w:rsidRPr="00326167">
        <w:rPr>
          <w:rFonts w:eastAsia="Calibri" w:cs="Times New Roman"/>
          <w:bCs/>
          <w:color w:val="000000"/>
          <w:lang w:val="ru-RU"/>
        </w:rPr>
        <w:t xml:space="preserve"> если оценка показателя 9.1 отлична от нуля.</w:t>
      </w:r>
    </w:p>
    <w:p w14:paraId="0528460C" w14:textId="77777777" w:rsidR="0051564A" w:rsidRPr="000B583A" w:rsidRDefault="00007514" w:rsidP="0051564A">
      <w:pPr>
        <w:pStyle w:val="a7"/>
        <w:numPr>
          <w:ilvl w:val="1"/>
          <w:numId w:val="18"/>
        </w:numPr>
        <w:tabs>
          <w:tab w:val="left" w:pos="1418"/>
        </w:tabs>
        <w:snapToGrid w:val="0"/>
        <w:spacing w:before="120"/>
        <w:ind w:left="0" w:firstLine="709"/>
        <w:contextualSpacing w:val="0"/>
        <w:rPr>
          <w:rFonts w:eastAsia="Calibri" w:cs="Times New Roman"/>
          <w:bCs/>
          <w:color w:val="000000"/>
          <w:lang w:val="ru-RU"/>
        </w:rPr>
      </w:pPr>
      <w:r w:rsidRPr="000B583A">
        <w:rPr>
          <w:rFonts w:eastAsia="Calibri" w:cs="Times New Roman"/>
          <w:bCs/>
          <w:color w:val="000000"/>
          <w:lang w:val="ru-RU"/>
        </w:rPr>
        <w:t>Показатель 10.1</w:t>
      </w:r>
    </w:p>
    <w:p w14:paraId="15217B5F" w14:textId="05BD768F" w:rsidR="00007514" w:rsidRPr="009F676B" w:rsidRDefault="00007514" w:rsidP="00326167">
      <w:pPr>
        <w:pStyle w:val="a7"/>
        <w:tabs>
          <w:tab w:val="left" w:pos="1418"/>
        </w:tabs>
        <w:snapToGrid w:val="0"/>
        <w:ind w:left="709" w:firstLine="0"/>
        <w:contextualSpacing w:val="0"/>
        <w:rPr>
          <w:rFonts w:eastAsia="Calibri" w:cs="Times New Roman"/>
          <w:bCs/>
          <w:color w:val="000000"/>
          <w:lang w:val="ru-RU"/>
        </w:rPr>
      </w:pPr>
      <w:r w:rsidRPr="009F676B">
        <w:rPr>
          <w:rFonts w:eastAsia="Calibri" w:cs="Times New Roman"/>
          <w:bCs/>
          <w:color w:val="000000"/>
          <w:lang w:val="ru-RU"/>
        </w:rPr>
        <w:t>Предлагается внести уточнение о том, что:</w:t>
      </w:r>
    </w:p>
    <w:p w14:paraId="40869A58" w14:textId="3F9044B0" w:rsidR="00007514" w:rsidRPr="009F676B" w:rsidRDefault="00007514" w:rsidP="00007514">
      <w:pPr>
        <w:numPr>
          <w:ilvl w:val="0"/>
          <w:numId w:val="9"/>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9F676B">
        <w:rPr>
          <w:rFonts w:ascii="Times New Roman" w:eastAsia="Calibri" w:hAnsi="Times New Roman" w:cs="Times New Roman"/>
          <w:bCs/>
          <w:color w:val="000000"/>
          <w:sz w:val="28"/>
          <w:szCs w:val="28"/>
        </w:rPr>
        <w:lastRenderedPageBreak/>
        <w:t xml:space="preserve">для оценки показателя </w:t>
      </w:r>
      <w:r w:rsidR="00346645">
        <w:rPr>
          <w:rFonts w:ascii="Times New Roman" w:eastAsia="Calibri" w:hAnsi="Times New Roman" w:cs="Times New Roman"/>
          <w:bCs/>
          <w:color w:val="000000"/>
          <w:sz w:val="28"/>
          <w:szCs w:val="28"/>
        </w:rPr>
        <w:t xml:space="preserve">10.1 </w:t>
      </w:r>
      <w:r w:rsidRPr="009F676B">
        <w:rPr>
          <w:rFonts w:ascii="Times New Roman" w:eastAsia="Calibri" w:hAnsi="Times New Roman" w:cs="Times New Roman"/>
          <w:bCs/>
          <w:color w:val="000000"/>
          <w:sz w:val="28"/>
          <w:szCs w:val="28"/>
        </w:rPr>
        <w:t xml:space="preserve">требуется </w:t>
      </w:r>
      <w:r w:rsidRPr="009F676B">
        <w:rPr>
          <w:rFonts w:ascii="Times New Roman" w:eastAsia="Calibri" w:hAnsi="Times New Roman" w:cs="Times New Roman"/>
          <w:bCs/>
          <w:sz w:val="28"/>
          <w:szCs w:val="28"/>
        </w:rPr>
        <w:t xml:space="preserve">не менее трех показателей, </w:t>
      </w:r>
      <w:r w:rsidRPr="009F676B">
        <w:rPr>
          <w:rFonts w:ascii="Times New Roman" w:eastAsia="Calibri" w:hAnsi="Times New Roman" w:cs="Times New Roman"/>
          <w:bCs/>
          <w:color w:val="000000"/>
          <w:sz w:val="28"/>
          <w:szCs w:val="28"/>
        </w:rPr>
        <w:t>характеризующих открытость бюджетных данных;</w:t>
      </w:r>
    </w:p>
    <w:p w14:paraId="06DBE99B" w14:textId="152C7F45" w:rsidR="00007514" w:rsidRPr="009F676B" w:rsidRDefault="00007514" w:rsidP="00007514">
      <w:pPr>
        <w:numPr>
          <w:ilvl w:val="0"/>
          <w:numId w:val="9"/>
        </w:numPr>
        <w:tabs>
          <w:tab w:val="left" w:pos="1134"/>
        </w:tabs>
        <w:spacing w:after="0" w:line="360" w:lineRule="auto"/>
        <w:ind w:left="0" w:firstLine="709"/>
        <w:jc w:val="both"/>
        <w:rPr>
          <w:rFonts w:ascii="Times New Roman" w:eastAsia="Calibri" w:hAnsi="Times New Roman" w:cs="Times New Roman"/>
          <w:bCs/>
          <w:color w:val="000000"/>
          <w:sz w:val="28"/>
          <w:szCs w:val="28"/>
        </w:rPr>
      </w:pPr>
      <w:r w:rsidRPr="009F676B">
        <w:rPr>
          <w:rFonts w:ascii="Times New Roman" w:eastAsia="Calibri" w:hAnsi="Times New Roman" w:cs="Times New Roman"/>
          <w:bCs/>
          <w:color w:val="000000"/>
          <w:sz w:val="28"/>
          <w:szCs w:val="28"/>
        </w:rPr>
        <w:t>оценивается наличие на сайте актуализированной версии документа (версии с учетом внесенных изменений) или наличие исходной версии документа и всех изменений к нему.</w:t>
      </w:r>
      <w:r w:rsidR="00BC438B" w:rsidRPr="009F676B">
        <w:rPr>
          <w:rFonts w:ascii="Times New Roman" w:eastAsia="Calibri" w:hAnsi="Times New Roman" w:cs="Times New Roman"/>
          <w:bCs/>
          <w:color w:val="000000"/>
          <w:sz w:val="28"/>
          <w:szCs w:val="28"/>
        </w:rPr>
        <w:t xml:space="preserve"> </w:t>
      </w:r>
      <w:r w:rsidR="00F91F03" w:rsidRPr="009F676B">
        <w:rPr>
          <w:rFonts w:ascii="Times New Roman" w:eastAsia="Calibri" w:hAnsi="Times New Roman" w:cs="Times New Roman"/>
          <w:bCs/>
          <w:color w:val="000000"/>
          <w:sz w:val="28"/>
          <w:szCs w:val="28"/>
        </w:rPr>
        <w:t xml:space="preserve">Изменения к исходной версии документа </w:t>
      </w:r>
      <w:r w:rsidR="00CF200B" w:rsidRPr="000B583A">
        <w:rPr>
          <w:rFonts w:ascii="Times New Roman" w:eastAsia="Calibri" w:hAnsi="Times New Roman" w:cs="Times New Roman"/>
          <w:bCs/>
          <w:sz w:val="28"/>
          <w:szCs w:val="28"/>
        </w:rPr>
        <w:t xml:space="preserve">предлагается </w:t>
      </w:r>
      <w:r w:rsidR="00F91F03" w:rsidRPr="000B583A">
        <w:rPr>
          <w:rFonts w:ascii="Times New Roman" w:eastAsia="Calibri" w:hAnsi="Times New Roman" w:cs="Times New Roman"/>
          <w:bCs/>
          <w:sz w:val="28"/>
          <w:szCs w:val="28"/>
        </w:rPr>
        <w:t xml:space="preserve">учитывать </w:t>
      </w:r>
      <w:r w:rsidR="00F91F03" w:rsidRPr="009F676B">
        <w:rPr>
          <w:rFonts w:ascii="Times New Roman" w:eastAsia="Calibri" w:hAnsi="Times New Roman" w:cs="Times New Roman"/>
          <w:bCs/>
          <w:color w:val="000000"/>
          <w:sz w:val="28"/>
          <w:szCs w:val="28"/>
        </w:rPr>
        <w:t>в случае их размещения вместе с исходной версией документа (на одной странице сайта).</w:t>
      </w:r>
    </w:p>
    <w:p w14:paraId="3D9D854C"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Предложение сформулировано с учетом реальной практики использования механизма стимулирования органов местного самоуправления к повышению открытости бюджетных данных. Встречаются документы, в которых предусмотрена оценка открытости бюджетных данных муниципальных образований с помощью одного или двух показателей. Такая практика расценивается как недостаточная для оценки показателя 10.1.</w:t>
      </w:r>
    </w:p>
    <w:p w14:paraId="5F0F91F8" w14:textId="77777777" w:rsidR="00007514" w:rsidRPr="00007514" w:rsidRDefault="00007514" w:rsidP="00007514">
      <w:pPr>
        <w:spacing w:after="0" w:line="360" w:lineRule="auto"/>
        <w:ind w:firstLine="709"/>
        <w:jc w:val="both"/>
        <w:rPr>
          <w:rFonts w:ascii="Times New Roman" w:eastAsia="Calibri" w:hAnsi="Times New Roman" w:cs="Times New Roman"/>
          <w:bCs/>
          <w:color w:val="000000"/>
          <w:sz w:val="28"/>
          <w:szCs w:val="28"/>
        </w:rPr>
      </w:pPr>
      <w:r w:rsidRPr="00007514">
        <w:rPr>
          <w:rFonts w:ascii="Times New Roman" w:eastAsia="Calibri" w:hAnsi="Times New Roman" w:cs="Times New Roman"/>
          <w:bCs/>
          <w:color w:val="000000"/>
          <w:sz w:val="28"/>
          <w:szCs w:val="28"/>
        </w:rPr>
        <w:t xml:space="preserve">Раздел 10 включен в расчет рейтинга открытости впервые в 2021 году, поэтому субъекты Российской Федерации на данном этапе уделяют этому вопросу недостаточное внимание. На практике оказалось затруднительным найти в открытом доступе актуализированную версию документа, устанавливающего механизм стимулирования органов местного самоуправления к повышению открытости бюджетных данных, или исходную версию такого документа и всех изменений к ней. Таким образом, сведения о механизме стимулирования органов местного самоуправления к повышению открытости бюджетных данных оказываются «закрытыми», даже если такой механизм применяется в регионе. </w:t>
      </w:r>
    </w:p>
    <w:p w14:paraId="625471AE" w14:textId="33CEBEDE" w:rsidR="009F676B" w:rsidRPr="000B583A" w:rsidRDefault="00007514" w:rsidP="009F676B">
      <w:pPr>
        <w:pStyle w:val="a7"/>
        <w:numPr>
          <w:ilvl w:val="1"/>
          <w:numId w:val="18"/>
        </w:numPr>
        <w:tabs>
          <w:tab w:val="left" w:pos="1418"/>
        </w:tabs>
        <w:spacing w:before="120"/>
        <w:ind w:left="0" w:firstLine="709"/>
        <w:rPr>
          <w:rFonts w:eastAsia="Calibri" w:cs="Times New Roman"/>
          <w:bCs/>
          <w:color w:val="000000"/>
          <w:lang w:val="ru-RU"/>
        </w:rPr>
      </w:pPr>
      <w:r w:rsidRPr="000B583A">
        <w:rPr>
          <w:rFonts w:eastAsia="Calibri" w:cs="Times New Roman"/>
          <w:bCs/>
          <w:color w:val="000000"/>
          <w:lang w:val="ru-RU"/>
        </w:rPr>
        <w:t xml:space="preserve">Показатель 10.2 </w:t>
      </w:r>
    </w:p>
    <w:p w14:paraId="735FBD5E" w14:textId="5C99FE18" w:rsidR="00007514" w:rsidRPr="001D2CAF" w:rsidRDefault="00007514" w:rsidP="009F676B">
      <w:pPr>
        <w:pStyle w:val="a7"/>
        <w:ind w:left="0" w:firstLine="709"/>
        <w:rPr>
          <w:rFonts w:eastAsia="Calibri" w:cs="Times New Roman"/>
          <w:bCs/>
          <w:color w:val="000000"/>
          <w:lang w:val="ru-RU"/>
        </w:rPr>
      </w:pPr>
      <w:r w:rsidRPr="001D2CAF">
        <w:rPr>
          <w:rFonts w:eastAsia="Calibri" w:cs="Times New Roman"/>
          <w:bCs/>
          <w:color w:val="000000"/>
          <w:lang w:val="ru-RU"/>
        </w:rPr>
        <w:t xml:space="preserve">Предлагается предусмотреть возможность применения к оценке показателя понижающего коэффициента, используемого в связи с затрудненным поиском бюджетных данных, в случае если правовой акт, устанавливающий механизм стимулирования органов местного самоуправления к повышению открытости бюджетных данных, размещен </w:t>
      </w:r>
      <w:r w:rsidRPr="001D2CAF">
        <w:rPr>
          <w:rFonts w:eastAsia="Calibri" w:cs="Times New Roman"/>
          <w:bCs/>
          <w:color w:val="000000"/>
          <w:lang w:val="ru-RU"/>
        </w:rPr>
        <w:lastRenderedPageBreak/>
        <w:t>отдельно от результатов оценки уровня открытости бюджетных данных и (или) результатов оценки качества управления муниципальными финансами (в другом разделе сайта, на другой странице сайта).</w:t>
      </w:r>
    </w:p>
    <w:p w14:paraId="3AF0BD07" w14:textId="77777777" w:rsidR="00007514" w:rsidRPr="00007514" w:rsidRDefault="00007514" w:rsidP="00007514">
      <w:pPr>
        <w:spacing w:after="0" w:line="360" w:lineRule="auto"/>
        <w:ind w:firstLine="709"/>
        <w:jc w:val="both"/>
        <w:rPr>
          <w:rFonts w:ascii="Times New Roman" w:eastAsia="Calibri" w:hAnsi="Times New Roman" w:cs="Times New Roman"/>
          <w:color w:val="000000"/>
          <w:sz w:val="28"/>
          <w:szCs w:val="28"/>
        </w:rPr>
      </w:pPr>
      <w:r w:rsidRPr="00007514">
        <w:rPr>
          <w:rFonts w:ascii="Times New Roman" w:eastAsia="Calibri" w:hAnsi="Times New Roman" w:cs="Times New Roman"/>
          <w:color w:val="000000"/>
          <w:sz w:val="28"/>
          <w:szCs w:val="28"/>
        </w:rPr>
        <w:t>В Методике составления рейтинга открытости за 2021 год содержится соответствующая рекомендация. Однако на практике масштаб проблемы оказался значительнее ожидаемого. Вместе с тем размещение результатов оценки уровня открытости бюджетных данных и (или) результатов оценки качества управления муниципальными финансами отдельно от методики проведения соответствующей оценки значительно снижает ценность этой информации.</w:t>
      </w:r>
    </w:p>
    <w:p w14:paraId="40909560" w14:textId="77777777" w:rsidR="00CD5B70" w:rsidRDefault="00CD5B70"/>
    <w:sectPr w:rsidR="00CD5B70" w:rsidSect="001D2CAF">
      <w:footerReference w:type="default" r:id="rId8"/>
      <w:pgSz w:w="11906" w:h="16838"/>
      <w:pgMar w:top="1134" w:right="85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B510" w14:textId="77777777" w:rsidR="008F0E12" w:rsidRDefault="008F0E12" w:rsidP="00007514">
      <w:pPr>
        <w:spacing w:after="0" w:line="240" w:lineRule="auto"/>
      </w:pPr>
      <w:r>
        <w:separator/>
      </w:r>
    </w:p>
  </w:endnote>
  <w:endnote w:type="continuationSeparator" w:id="0">
    <w:p w14:paraId="22627B2C" w14:textId="77777777" w:rsidR="008F0E12" w:rsidRDefault="008F0E12" w:rsidP="0000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23423"/>
      <w:docPartObj>
        <w:docPartGallery w:val="Page Numbers (Bottom of Page)"/>
        <w:docPartUnique/>
      </w:docPartObj>
    </w:sdtPr>
    <w:sdtEndPr/>
    <w:sdtContent>
      <w:p w14:paraId="3CE09A0E" w14:textId="77777777" w:rsidR="00A960E9" w:rsidRDefault="00A960E9">
        <w:pPr>
          <w:pStyle w:val="ab"/>
          <w:jc w:val="center"/>
        </w:pPr>
        <w:r>
          <w:fldChar w:fldCharType="begin"/>
        </w:r>
        <w:r>
          <w:instrText>PAGE   \* MERGEFORMAT</w:instrText>
        </w:r>
        <w:r>
          <w:fldChar w:fldCharType="separate"/>
        </w:r>
        <w:r w:rsidR="005C7B35">
          <w:rPr>
            <w:noProof/>
          </w:rPr>
          <w:t>21</w:t>
        </w:r>
        <w:r>
          <w:fldChar w:fldCharType="end"/>
        </w:r>
      </w:p>
    </w:sdtContent>
  </w:sdt>
  <w:p w14:paraId="0F82F1F7" w14:textId="77777777" w:rsidR="00A960E9" w:rsidRDefault="00A960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6646" w14:textId="77777777" w:rsidR="008F0E12" w:rsidRDefault="008F0E12" w:rsidP="00007514">
      <w:pPr>
        <w:spacing w:after="0" w:line="240" w:lineRule="auto"/>
      </w:pPr>
      <w:r>
        <w:separator/>
      </w:r>
    </w:p>
  </w:footnote>
  <w:footnote w:type="continuationSeparator" w:id="0">
    <w:p w14:paraId="58BC44BC" w14:textId="77777777" w:rsidR="008F0E12" w:rsidRDefault="008F0E12" w:rsidP="00007514">
      <w:pPr>
        <w:spacing w:after="0" w:line="240" w:lineRule="auto"/>
      </w:pPr>
      <w:r>
        <w:continuationSeparator/>
      </w:r>
    </w:p>
  </w:footnote>
  <w:footnote w:id="1">
    <w:p w14:paraId="6FCA5F82" w14:textId="77777777" w:rsidR="00A960E9" w:rsidRPr="00B07AF8" w:rsidRDefault="00A960E9" w:rsidP="00007514">
      <w:pPr>
        <w:pStyle w:val="a3"/>
        <w:spacing w:after="60"/>
        <w:ind w:firstLine="709"/>
        <w:rPr>
          <w:sz w:val="22"/>
          <w:szCs w:val="22"/>
        </w:rPr>
      </w:pPr>
      <w:r w:rsidRPr="00B07AF8">
        <w:rPr>
          <w:rStyle w:val="a5"/>
          <w:sz w:val="22"/>
          <w:szCs w:val="22"/>
        </w:rPr>
        <w:footnoteRef/>
      </w:r>
      <w:r w:rsidRPr="00B07AF8">
        <w:rPr>
          <w:sz w:val="22"/>
          <w:szCs w:val="22"/>
        </w:rPr>
        <w:t> </w:t>
      </w:r>
      <w:r w:rsidRPr="00B07AF8">
        <w:rPr>
          <w:rFonts w:cs="Times New Roman"/>
          <w:sz w:val="22"/>
          <w:szCs w:val="22"/>
        </w:rPr>
        <w:t>Open Budget Survey 2019. International Budget Partnership. URL</w:t>
      </w:r>
      <w:r w:rsidRPr="00B07AF8">
        <w:rPr>
          <w:rFonts w:cs="Times New Roman"/>
          <w:sz w:val="22"/>
          <w:szCs w:val="22"/>
          <w:lang w:val="ru-RU"/>
        </w:rPr>
        <w:t xml:space="preserve">: </w:t>
      </w:r>
      <w:r w:rsidRPr="00B07AF8">
        <w:rPr>
          <w:rStyle w:val="a6"/>
          <w:rFonts w:cs="Times New Roman"/>
          <w:bCs/>
          <w:sz w:val="22"/>
          <w:szCs w:val="22"/>
        </w:rPr>
        <w:t>https</w:t>
      </w:r>
      <w:r w:rsidRPr="00B07AF8">
        <w:rPr>
          <w:rStyle w:val="a6"/>
          <w:rFonts w:cs="Times New Roman"/>
          <w:bCs/>
          <w:sz w:val="22"/>
          <w:szCs w:val="22"/>
          <w:lang w:val="ru-RU"/>
        </w:rPr>
        <w:t>://</w:t>
      </w:r>
      <w:r w:rsidRPr="00B07AF8">
        <w:rPr>
          <w:rStyle w:val="a6"/>
          <w:rFonts w:cs="Times New Roman"/>
          <w:bCs/>
          <w:sz w:val="22"/>
          <w:szCs w:val="22"/>
        </w:rPr>
        <w:t>www</w:t>
      </w:r>
      <w:r w:rsidRPr="00B07AF8">
        <w:rPr>
          <w:rStyle w:val="a6"/>
          <w:rFonts w:cs="Times New Roman"/>
          <w:bCs/>
          <w:sz w:val="22"/>
          <w:szCs w:val="22"/>
          <w:lang w:val="ru-RU"/>
        </w:rPr>
        <w:t>.</w:t>
      </w:r>
      <w:proofErr w:type="spellStart"/>
      <w:r w:rsidRPr="00B07AF8">
        <w:rPr>
          <w:rStyle w:val="a6"/>
          <w:rFonts w:cs="Times New Roman"/>
          <w:bCs/>
          <w:sz w:val="22"/>
          <w:szCs w:val="22"/>
        </w:rPr>
        <w:t>internationalbudget</w:t>
      </w:r>
      <w:proofErr w:type="spellEnd"/>
      <w:r w:rsidRPr="00B07AF8">
        <w:rPr>
          <w:rStyle w:val="a6"/>
          <w:rFonts w:cs="Times New Roman"/>
          <w:bCs/>
          <w:sz w:val="22"/>
          <w:szCs w:val="22"/>
          <w:lang w:val="ru-RU"/>
        </w:rPr>
        <w:t>.</w:t>
      </w:r>
      <w:r w:rsidRPr="00B07AF8">
        <w:rPr>
          <w:rStyle w:val="a6"/>
          <w:rFonts w:cs="Times New Roman"/>
          <w:bCs/>
          <w:sz w:val="22"/>
          <w:szCs w:val="22"/>
        </w:rPr>
        <w:t>org</w:t>
      </w:r>
      <w:r w:rsidRPr="00B07AF8">
        <w:rPr>
          <w:rStyle w:val="a6"/>
          <w:rFonts w:cs="Times New Roman"/>
          <w:bCs/>
          <w:sz w:val="22"/>
          <w:szCs w:val="22"/>
          <w:lang w:val="ru-RU"/>
        </w:rPr>
        <w:t>/</w:t>
      </w:r>
      <w:r w:rsidRPr="00B07AF8">
        <w:rPr>
          <w:rStyle w:val="a6"/>
          <w:rFonts w:cs="Times New Roman"/>
          <w:bCs/>
          <w:sz w:val="22"/>
          <w:szCs w:val="22"/>
        </w:rPr>
        <w:t>open</w:t>
      </w:r>
      <w:r w:rsidRPr="00B07AF8">
        <w:rPr>
          <w:rStyle w:val="a6"/>
          <w:rFonts w:cs="Times New Roman"/>
          <w:bCs/>
          <w:sz w:val="22"/>
          <w:szCs w:val="22"/>
          <w:lang w:val="ru-RU"/>
        </w:rPr>
        <w:t>-</w:t>
      </w:r>
      <w:r w:rsidRPr="00B07AF8">
        <w:rPr>
          <w:rStyle w:val="a6"/>
          <w:rFonts w:cs="Times New Roman"/>
          <w:bCs/>
          <w:sz w:val="22"/>
          <w:szCs w:val="22"/>
        </w:rPr>
        <w:t>budget</w:t>
      </w:r>
      <w:r w:rsidRPr="00B07AF8">
        <w:rPr>
          <w:rStyle w:val="a6"/>
          <w:rFonts w:cs="Times New Roman"/>
          <w:bCs/>
          <w:sz w:val="22"/>
          <w:szCs w:val="22"/>
          <w:lang w:val="ru-RU"/>
        </w:rPr>
        <w:t>-</w:t>
      </w:r>
      <w:r w:rsidRPr="00B07AF8">
        <w:rPr>
          <w:rStyle w:val="a6"/>
          <w:rFonts w:cs="Times New Roman"/>
          <w:bCs/>
          <w:sz w:val="22"/>
          <w:szCs w:val="22"/>
        </w:rPr>
        <w:t>survey</w:t>
      </w:r>
      <w:r w:rsidRPr="00B07AF8">
        <w:rPr>
          <w:rStyle w:val="a6"/>
          <w:rFonts w:cs="Times New Roman"/>
          <w:bCs/>
          <w:sz w:val="22"/>
          <w:szCs w:val="22"/>
          <w:lang w:val="ru-RU"/>
        </w:rPr>
        <w:t>/</w:t>
      </w:r>
      <w:r w:rsidRPr="00B07AF8">
        <w:rPr>
          <w:rStyle w:val="a6"/>
          <w:rFonts w:cs="Times New Roman"/>
          <w:bCs/>
          <w:sz w:val="22"/>
          <w:szCs w:val="22"/>
        </w:rPr>
        <w:t>open</w:t>
      </w:r>
      <w:r w:rsidRPr="00B07AF8">
        <w:rPr>
          <w:rStyle w:val="a6"/>
          <w:rFonts w:cs="Times New Roman"/>
          <w:bCs/>
          <w:sz w:val="22"/>
          <w:szCs w:val="22"/>
          <w:lang w:val="ru-RU"/>
        </w:rPr>
        <w:t>-</w:t>
      </w:r>
      <w:r w:rsidRPr="00B07AF8">
        <w:rPr>
          <w:rStyle w:val="a6"/>
          <w:rFonts w:cs="Times New Roman"/>
          <w:bCs/>
          <w:sz w:val="22"/>
          <w:szCs w:val="22"/>
        </w:rPr>
        <w:t>budget</w:t>
      </w:r>
      <w:r w:rsidRPr="00B07AF8">
        <w:rPr>
          <w:rStyle w:val="a6"/>
          <w:rFonts w:cs="Times New Roman"/>
          <w:bCs/>
          <w:sz w:val="22"/>
          <w:szCs w:val="22"/>
          <w:lang w:val="ru-RU"/>
        </w:rPr>
        <w:t>-</w:t>
      </w:r>
      <w:r w:rsidRPr="00B07AF8">
        <w:rPr>
          <w:rStyle w:val="a6"/>
          <w:rFonts w:cs="Times New Roman"/>
          <w:bCs/>
          <w:sz w:val="22"/>
          <w:szCs w:val="22"/>
        </w:rPr>
        <w:t>survey</w:t>
      </w:r>
      <w:r w:rsidRPr="00B07AF8">
        <w:rPr>
          <w:rStyle w:val="a6"/>
          <w:rFonts w:cs="Times New Roman"/>
          <w:bCs/>
          <w:sz w:val="22"/>
          <w:szCs w:val="22"/>
          <w:lang w:val="ru-RU"/>
        </w:rPr>
        <w:t>-2019-0</w:t>
      </w:r>
      <w:r w:rsidRPr="00B07AF8">
        <w:rPr>
          <w:rFonts w:cs="Times New Roman"/>
          <w:bCs/>
          <w:sz w:val="22"/>
          <w:szCs w:val="22"/>
          <w:lang w:val="ru-RU"/>
        </w:rPr>
        <w:t xml:space="preserve"> (дата обращения 28.10.2021). </w:t>
      </w:r>
      <w:r w:rsidRPr="00B07AF8">
        <w:rPr>
          <w:sz w:val="22"/>
          <w:szCs w:val="22"/>
        </w:rPr>
        <w:t xml:space="preserve">Guide to the Open Budget Questionnaire: an Explanation of the Questions and the Response Options. January 2019. </w:t>
      </w:r>
      <w:r w:rsidRPr="00B07AF8">
        <w:rPr>
          <w:rFonts w:cs="Times New Roman"/>
          <w:sz w:val="22"/>
          <w:szCs w:val="22"/>
        </w:rPr>
        <w:t xml:space="preserve">International Budget Partnership. URL: </w:t>
      </w:r>
      <w:hyperlink r:id="rId1" w:history="1">
        <w:r w:rsidRPr="00B07AF8">
          <w:rPr>
            <w:rStyle w:val="a6"/>
            <w:rFonts w:cs="Times New Roman"/>
            <w:sz w:val="22"/>
            <w:szCs w:val="22"/>
          </w:rPr>
          <w:t>https://www.internationalbudget.org/sites/default/files/2020-04/2019_Guide_and_Questionnaire_EN.pdf</w:t>
        </w:r>
      </w:hyperlink>
      <w:r w:rsidRPr="00B07AF8">
        <w:rPr>
          <w:rStyle w:val="a6"/>
          <w:rFonts w:cs="Times New Roman"/>
          <w:color w:val="auto"/>
          <w:sz w:val="22"/>
          <w:szCs w:val="22"/>
        </w:rPr>
        <w:t xml:space="preserve"> </w:t>
      </w:r>
      <w:r w:rsidRPr="00B07AF8">
        <w:rPr>
          <w:rStyle w:val="a6"/>
          <w:rFonts w:cs="Times New Roman"/>
          <w:color w:val="auto"/>
          <w:sz w:val="22"/>
          <w:szCs w:val="22"/>
          <w:u w:val="none"/>
        </w:rPr>
        <w:t>(</w:t>
      </w:r>
      <w:r w:rsidRPr="00B07AF8">
        <w:rPr>
          <w:rStyle w:val="a6"/>
          <w:rFonts w:cs="Times New Roman"/>
          <w:color w:val="auto"/>
          <w:sz w:val="22"/>
          <w:szCs w:val="22"/>
          <w:u w:val="none"/>
          <w:lang w:val="ru-RU"/>
        </w:rPr>
        <w:t>дата</w:t>
      </w:r>
      <w:r w:rsidRPr="00B07AF8">
        <w:rPr>
          <w:rStyle w:val="a6"/>
          <w:rFonts w:cs="Times New Roman"/>
          <w:color w:val="auto"/>
          <w:sz w:val="22"/>
          <w:szCs w:val="22"/>
          <w:u w:val="none"/>
        </w:rPr>
        <w:t xml:space="preserve"> </w:t>
      </w:r>
      <w:r w:rsidRPr="00B07AF8">
        <w:rPr>
          <w:rStyle w:val="a6"/>
          <w:rFonts w:cs="Times New Roman"/>
          <w:color w:val="auto"/>
          <w:sz w:val="22"/>
          <w:szCs w:val="22"/>
          <w:u w:val="none"/>
          <w:lang w:val="ru-RU"/>
        </w:rPr>
        <w:t>обращения</w:t>
      </w:r>
      <w:r w:rsidRPr="00B07AF8">
        <w:rPr>
          <w:rStyle w:val="a6"/>
          <w:rFonts w:cs="Times New Roman"/>
          <w:color w:val="auto"/>
          <w:sz w:val="22"/>
          <w:szCs w:val="22"/>
          <w:u w:val="none"/>
        </w:rPr>
        <w:t xml:space="preserve"> 28.10.2021).</w:t>
      </w:r>
    </w:p>
  </w:footnote>
  <w:footnote w:id="2">
    <w:p w14:paraId="41BEF164" w14:textId="77777777" w:rsidR="00A960E9" w:rsidRPr="00B07AF8" w:rsidRDefault="00A960E9" w:rsidP="00007514">
      <w:pPr>
        <w:pStyle w:val="a3"/>
        <w:spacing w:after="60"/>
        <w:ind w:firstLine="709"/>
        <w:rPr>
          <w:rFonts w:cs="Times New Roman"/>
          <w:sz w:val="22"/>
          <w:szCs w:val="22"/>
          <w:lang w:val="ru-RU"/>
        </w:rPr>
      </w:pPr>
      <w:r w:rsidRPr="00B07AF8">
        <w:rPr>
          <w:rStyle w:val="a5"/>
          <w:sz w:val="22"/>
          <w:szCs w:val="22"/>
        </w:rPr>
        <w:footnoteRef/>
      </w:r>
      <w:r w:rsidRPr="00B07AF8">
        <w:rPr>
          <w:sz w:val="22"/>
          <w:szCs w:val="22"/>
          <w:lang w:val="ru-RU"/>
        </w:rPr>
        <w:t xml:space="preserve"> </w:t>
      </w:r>
      <w:r w:rsidRPr="00B07AF8">
        <w:rPr>
          <w:rFonts w:cs="Times New Roman"/>
          <w:sz w:val="22"/>
          <w:szCs w:val="22"/>
          <w:lang w:val="ru-RU"/>
        </w:rPr>
        <w:t xml:space="preserve">Методика составления рейтинга субъектов Российской Федерации по уровню открытости бюджетных данных за 2021 год. НИФИ Минфина России. </w:t>
      </w:r>
      <w:r w:rsidRPr="00B07AF8">
        <w:rPr>
          <w:rFonts w:cs="Times New Roman"/>
          <w:sz w:val="22"/>
          <w:szCs w:val="22"/>
        </w:rPr>
        <w:t>URL</w:t>
      </w:r>
      <w:r w:rsidRPr="00B07AF8">
        <w:rPr>
          <w:rFonts w:cs="Times New Roman"/>
          <w:sz w:val="22"/>
          <w:szCs w:val="22"/>
          <w:lang w:val="ru-RU"/>
        </w:rPr>
        <w:t xml:space="preserve">:  </w:t>
      </w:r>
      <w:hyperlink r:id="rId2" w:history="1">
        <w:r w:rsidRPr="00B07AF8">
          <w:rPr>
            <w:rFonts w:cs="Times New Roman"/>
            <w:sz w:val="22"/>
            <w:szCs w:val="22"/>
          </w:rPr>
          <w:t>www</w:t>
        </w:r>
        <w:r w:rsidRPr="00B07AF8">
          <w:rPr>
            <w:rFonts w:cs="Times New Roman"/>
            <w:sz w:val="22"/>
            <w:szCs w:val="22"/>
            <w:lang w:val="ru-RU"/>
          </w:rPr>
          <w:t>.</w:t>
        </w:r>
        <w:proofErr w:type="spellStart"/>
        <w:r w:rsidRPr="00B07AF8">
          <w:rPr>
            <w:rFonts w:cs="Times New Roman"/>
            <w:sz w:val="22"/>
            <w:szCs w:val="22"/>
          </w:rPr>
          <w:t>nifi</w:t>
        </w:r>
        <w:proofErr w:type="spellEnd"/>
        <w:r w:rsidRPr="00B07AF8">
          <w:rPr>
            <w:rFonts w:cs="Times New Roman"/>
            <w:sz w:val="22"/>
            <w:szCs w:val="22"/>
            <w:lang w:val="ru-RU"/>
          </w:rPr>
          <w:t>.</w:t>
        </w:r>
        <w:proofErr w:type="spellStart"/>
        <w:r w:rsidRPr="00B07AF8">
          <w:rPr>
            <w:rFonts w:cs="Times New Roman"/>
            <w:sz w:val="22"/>
            <w:szCs w:val="22"/>
          </w:rPr>
          <w:t>ru</w:t>
        </w:r>
        <w:proofErr w:type="spellEnd"/>
        <w:r w:rsidRPr="00B07AF8">
          <w:rPr>
            <w:rFonts w:cs="Times New Roman"/>
            <w:sz w:val="22"/>
            <w:szCs w:val="22"/>
            <w:lang w:val="ru-RU"/>
          </w:rPr>
          <w:t>/</w:t>
        </w:r>
        <w:proofErr w:type="spellStart"/>
        <w:r w:rsidRPr="00B07AF8">
          <w:rPr>
            <w:rFonts w:cs="Times New Roman"/>
            <w:sz w:val="22"/>
            <w:szCs w:val="22"/>
          </w:rPr>
          <w:t>ru</w:t>
        </w:r>
        <w:proofErr w:type="spellEnd"/>
        <w:r w:rsidRPr="00B07AF8">
          <w:rPr>
            <w:rFonts w:cs="Times New Roman"/>
            <w:sz w:val="22"/>
            <w:szCs w:val="22"/>
            <w:lang w:val="ru-RU"/>
          </w:rPr>
          <w:t>/</w:t>
        </w:r>
        <w:r w:rsidRPr="00B07AF8">
          <w:rPr>
            <w:rFonts w:cs="Times New Roman"/>
            <w:sz w:val="22"/>
            <w:szCs w:val="22"/>
          </w:rPr>
          <w:t>rating</w:t>
        </w:r>
      </w:hyperlink>
      <w:r w:rsidRPr="00B07AF8">
        <w:rPr>
          <w:rFonts w:cs="Times New Roman"/>
          <w:sz w:val="22"/>
          <w:szCs w:val="22"/>
          <w:lang w:val="ru-RU"/>
        </w:rPr>
        <w:t xml:space="preserve">  (дата обращения 21.10.2021).</w:t>
      </w:r>
    </w:p>
  </w:footnote>
  <w:footnote w:id="3">
    <w:p w14:paraId="553F6A36" w14:textId="77777777" w:rsidR="00A960E9" w:rsidRPr="00007514" w:rsidRDefault="00A960E9" w:rsidP="00007514">
      <w:pPr>
        <w:pStyle w:val="a3"/>
        <w:spacing w:after="60"/>
        <w:rPr>
          <w:rFonts w:cs="Times New Roman"/>
          <w:sz w:val="22"/>
          <w:szCs w:val="22"/>
          <w:lang w:val="ru-RU"/>
        </w:rPr>
      </w:pPr>
      <w:r w:rsidRPr="00007514">
        <w:rPr>
          <w:rStyle w:val="a5"/>
          <w:rFonts w:cs="Times New Roman"/>
          <w:sz w:val="22"/>
          <w:szCs w:val="22"/>
        </w:rPr>
        <w:footnoteRef/>
      </w:r>
      <w:r w:rsidRPr="00007514">
        <w:rPr>
          <w:rFonts w:cs="Times New Roman"/>
          <w:sz w:val="22"/>
          <w:szCs w:val="22"/>
          <w:lang w:val="ru-RU"/>
        </w:rPr>
        <w:t xml:space="preserve"> В настоящее время реализовано в Методике составления рейтинга субъектов Российской Федерации по уровню открытости бюджетных данных за 2021 год для показателей 4.3, 4.4, 5.10.</w:t>
      </w:r>
    </w:p>
  </w:footnote>
  <w:footnote w:id="4">
    <w:p w14:paraId="7CDA6E22" w14:textId="77777777" w:rsidR="00A960E9" w:rsidRPr="00A1680F" w:rsidRDefault="00A960E9" w:rsidP="00007514">
      <w:pPr>
        <w:pStyle w:val="a3"/>
        <w:spacing w:after="60"/>
        <w:rPr>
          <w:rFonts w:cs="Times New Roman"/>
          <w:sz w:val="22"/>
          <w:szCs w:val="22"/>
          <w:lang w:val="ru-RU"/>
        </w:rPr>
      </w:pPr>
      <w:r w:rsidRPr="00007514">
        <w:rPr>
          <w:rStyle w:val="a5"/>
          <w:rFonts w:cs="Times New Roman"/>
          <w:sz w:val="22"/>
          <w:szCs w:val="22"/>
        </w:rPr>
        <w:footnoteRef/>
      </w:r>
      <w:r w:rsidRPr="00007514">
        <w:rPr>
          <w:rFonts w:cs="Times New Roman"/>
          <w:sz w:val="22"/>
          <w:szCs w:val="22"/>
        </w:rPr>
        <w:t xml:space="preserve"> </w:t>
      </w:r>
      <w:r w:rsidRPr="00007514">
        <w:rPr>
          <w:sz w:val="22"/>
          <w:szCs w:val="22"/>
        </w:rPr>
        <w:t xml:space="preserve">Guide to the Open Budget Questionnaire: an Explanation of the Questions and the Response Options. January 2019. </w:t>
      </w:r>
      <w:r w:rsidRPr="00007514">
        <w:rPr>
          <w:rFonts w:cs="Times New Roman"/>
          <w:sz w:val="22"/>
          <w:szCs w:val="22"/>
        </w:rPr>
        <w:t>International Budget Partnership. URL</w:t>
      </w:r>
      <w:r w:rsidRPr="00BC438B">
        <w:rPr>
          <w:rFonts w:cs="Times New Roman"/>
          <w:sz w:val="22"/>
          <w:szCs w:val="22"/>
        </w:rPr>
        <w:t xml:space="preserve">: </w:t>
      </w:r>
      <w:hyperlink r:id="rId3" w:history="1">
        <w:r w:rsidRPr="00007514">
          <w:rPr>
            <w:rStyle w:val="a6"/>
            <w:rFonts w:cs="Times New Roman"/>
            <w:sz w:val="22"/>
            <w:szCs w:val="22"/>
          </w:rPr>
          <w:t>https</w:t>
        </w:r>
        <w:r w:rsidRPr="00BC438B">
          <w:rPr>
            <w:rStyle w:val="a6"/>
            <w:rFonts w:cs="Times New Roman"/>
            <w:sz w:val="22"/>
            <w:szCs w:val="22"/>
          </w:rPr>
          <w:t>://</w:t>
        </w:r>
        <w:r w:rsidRPr="00007514">
          <w:rPr>
            <w:rStyle w:val="a6"/>
            <w:rFonts w:cs="Times New Roman"/>
            <w:sz w:val="22"/>
            <w:szCs w:val="22"/>
          </w:rPr>
          <w:t>www</w:t>
        </w:r>
        <w:r w:rsidRPr="00BC438B">
          <w:rPr>
            <w:rStyle w:val="a6"/>
            <w:rFonts w:cs="Times New Roman"/>
            <w:sz w:val="22"/>
            <w:szCs w:val="22"/>
          </w:rPr>
          <w:t>.</w:t>
        </w:r>
        <w:r w:rsidRPr="00007514">
          <w:rPr>
            <w:rStyle w:val="a6"/>
            <w:rFonts w:cs="Times New Roman"/>
            <w:sz w:val="22"/>
            <w:szCs w:val="22"/>
          </w:rPr>
          <w:t>internationalbudget</w:t>
        </w:r>
        <w:r w:rsidRPr="00BC438B">
          <w:rPr>
            <w:rStyle w:val="a6"/>
            <w:rFonts w:cs="Times New Roman"/>
            <w:sz w:val="22"/>
            <w:szCs w:val="22"/>
          </w:rPr>
          <w:t>.</w:t>
        </w:r>
        <w:r w:rsidRPr="00007514">
          <w:rPr>
            <w:rStyle w:val="a6"/>
            <w:rFonts w:cs="Times New Roman"/>
            <w:sz w:val="22"/>
            <w:szCs w:val="22"/>
          </w:rPr>
          <w:t>org</w:t>
        </w:r>
        <w:r w:rsidRPr="00BC438B">
          <w:rPr>
            <w:rStyle w:val="a6"/>
            <w:rFonts w:cs="Times New Roman"/>
            <w:sz w:val="22"/>
            <w:szCs w:val="22"/>
          </w:rPr>
          <w:t>/</w:t>
        </w:r>
        <w:r w:rsidRPr="00007514">
          <w:rPr>
            <w:rStyle w:val="a6"/>
            <w:rFonts w:cs="Times New Roman"/>
            <w:sz w:val="22"/>
            <w:szCs w:val="22"/>
          </w:rPr>
          <w:t>sites</w:t>
        </w:r>
        <w:r w:rsidRPr="00BC438B">
          <w:rPr>
            <w:rStyle w:val="a6"/>
            <w:rFonts w:cs="Times New Roman"/>
            <w:sz w:val="22"/>
            <w:szCs w:val="22"/>
          </w:rPr>
          <w:t>/</w:t>
        </w:r>
        <w:r w:rsidRPr="00007514">
          <w:rPr>
            <w:rStyle w:val="a6"/>
            <w:rFonts w:cs="Times New Roman"/>
            <w:sz w:val="22"/>
            <w:szCs w:val="22"/>
          </w:rPr>
          <w:t>default</w:t>
        </w:r>
        <w:r w:rsidRPr="00BC438B">
          <w:rPr>
            <w:rStyle w:val="a6"/>
            <w:rFonts w:cs="Times New Roman"/>
            <w:sz w:val="22"/>
            <w:szCs w:val="22"/>
          </w:rPr>
          <w:t>/</w:t>
        </w:r>
        <w:r w:rsidRPr="00007514">
          <w:rPr>
            <w:rStyle w:val="a6"/>
            <w:rFonts w:cs="Times New Roman"/>
            <w:sz w:val="22"/>
            <w:szCs w:val="22"/>
          </w:rPr>
          <w:t>files</w:t>
        </w:r>
        <w:r w:rsidRPr="00BC438B">
          <w:rPr>
            <w:rStyle w:val="a6"/>
            <w:rFonts w:cs="Times New Roman"/>
            <w:sz w:val="22"/>
            <w:szCs w:val="22"/>
          </w:rPr>
          <w:t>/2020-04/2019_</w:t>
        </w:r>
        <w:r w:rsidRPr="00007514">
          <w:rPr>
            <w:rStyle w:val="a6"/>
            <w:rFonts w:cs="Times New Roman"/>
            <w:sz w:val="22"/>
            <w:szCs w:val="22"/>
          </w:rPr>
          <w:t>Guide</w:t>
        </w:r>
        <w:r w:rsidRPr="00BC438B">
          <w:rPr>
            <w:rStyle w:val="a6"/>
            <w:rFonts w:cs="Times New Roman"/>
            <w:sz w:val="22"/>
            <w:szCs w:val="22"/>
          </w:rPr>
          <w:t>_</w:t>
        </w:r>
        <w:r w:rsidRPr="00007514">
          <w:rPr>
            <w:rStyle w:val="a6"/>
            <w:rFonts w:cs="Times New Roman"/>
            <w:sz w:val="22"/>
            <w:szCs w:val="22"/>
          </w:rPr>
          <w:t>and</w:t>
        </w:r>
        <w:r w:rsidRPr="00BC438B">
          <w:rPr>
            <w:rStyle w:val="a6"/>
            <w:rFonts w:cs="Times New Roman"/>
            <w:sz w:val="22"/>
            <w:szCs w:val="22"/>
          </w:rPr>
          <w:t>_</w:t>
        </w:r>
        <w:r w:rsidRPr="00007514">
          <w:rPr>
            <w:rStyle w:val="a6"/>
            <w:rFonts w:cs="Times New Roman"/>
            <w:sz w:val="22"/>
            <w:szCs w:val="22"/>
          </w:rPr>
          <w:t>Questionnaire</w:t>
        </w:r>
        <w:r w:rsidRPr="00BC438B">
          <w:rPr>
            <w:rStyle w:val="a6"/>
            <w:rFonts w:cs="Times New Roman"/>
            <w:sz w:val="22"/>
            <w:szCs w:val="22"/>
          </w:rPr>
          <w:t>_</w:t>
        </w:r>
        <w:r w:rsidRPr="00007514">
          <w:rPr>
            <w:rStyle w:val="a6"/>
            <w:rFonts w:cs="Times New Roman"/>
            <w:sz w:val="22"/>
            <w:szCs w:val="22"/>
          </w:rPr>
          <w:t>EN</w:t>
        </w:r>
        <w:r w:rsidRPr="00BC438B">
          <w:rPr>
            <w:rStyle w:val="a6"/>
            <w:rFonts w:cs="Times New Roman"/>
            <w:sz w:val="22"/>
            <w:szCs w:val="22"/>
          </w:rPr>
          <w:t>.</w:t>
        </w:r>
        <w:r w:rsidRPr="00007514">
          <w:rPr>
            <w:rStyle w:val="a6"/>
            <w:rFonts w:cs="Times New Roman"/>
            <w:sz w:val="22"/>
            <w:szCs w:val="22"/>
          </w:rPr>
          <w:t>pdf</w:t>
        </w:r>
      </w:hyperlink>
      <w:r w:rsidRPr="00BC438B">
        <w:rPr>
          <w:rStyle w:val="a6"/>
          <w:rFonts w:cs="Times New Roman"/>
          <w:color w:val="auto"/>
          <w:sz w:val="22"/>
          <w:szCs w:val="22"/>
        </w:rPr>
        <w:t xml:space="preserve"> </w:t>
      </w:r>
      <w:r w:rsidRPr="00BC438B">
        <w:rPr>
          <w:rStyle w:val="a6"/>
          <w:rFonts w:cs="Times New Roman"/>
          <w:color w:val="auto"/>
          <w:sz w:val="22"/>
          <w:szCs w:val="22"/>
          <w:u w:val="none"/>
        </w:rPr>
        <w:t>(</w:t>
      </w:r>
      <w:r w:rsidRPr="00007514">
        <w:rPr>
          <w:rStyle w:val="a6"/>
          <w:rFonts w:cs="Times New Roman"/>
          <w:color w:val="auto"/>
          <w:sz w:val="22"/>
          <w:szCs w:val="22"/>
          <w:u w:val="none"/>
          <w:lang w:val="ru-RU"/>
        </w:rPr>
        <w:t>дата</w:t>
      </w:r>
      <w:r w:rsidRPr="00BC438B">
        <w:rPr>
          <w:rStyle w:val="a6"/>
          <w:rFonts w:cs="Times New Roman"/>
          <w:color w:val="auto"/>
          <w:sz w:val="22"/>
          <w:szCs w:val="22"/>
          <w:u w:val="none"/>
        </w:rPr>
        <w:t xml:space="preserve"> </w:t>
      </w:r>
      <w:r w:rsidRPr="00007514">
        <w:rPr>
          <w:rStyle w:val="a6"/>
          <w:rFonts w:cs="Times New Roman"/>
          <w:color w:val="auto"/>
          <w:sz w:val="22"/>
          <w:szCs w:val="22"/>
          <w:u w:val="none"/>
          <w:lang w:val="ru-RU"/>
        </w:rPr>
        <w:t>обращения</w:t>
      </w:r>
      <w:r w:rsidRPr="00BC438B">
        <w:rPr>
          <w:rStyle w:val="a6"/>
          <w:rFonts w:cs="Times New Roman"/>
          <w:color w:val="auto"/>
          <w:sz w:val="22"/>
          <w:szCs w:val="22"/>
          <w:u w:val="none"/>
        </w:rPr>
        <w:t xml:space="preserve"> 28.10.2021). </w:t>
      </w:r>
      <w:r w:rsidRPr="00007514">
        <w:rPr>
          <w:rFonts w:cs="Times New Roman"/>
          <w:sz w:val="22"/>
          <w:szCs w:val="22"/>
          <w:lang w:val="ru-RU"/>
        </w:rPr>
        <w:t>См</w:t>
      </w:r>
      <w:r w:rsidRPr="00A1680F">
        <w:rPr>
          <w:rFonts w:cs="Times New Roman"/>
          <w:sz w:val="22"/>
          <w:szCs w:val="22"/>
          <w:lang w:val="ru-RU"/>
        </w:rPr>
        <w:t xml:space="preserve">., </w:t>
      </w:r>
      <w:r w:rsidRPr="00007514">
        <w:rPr>
          <w:rFonts w:cs="Times New Roman"/>
          <w:sz w:val="22"/>
          <w:szCs w:val="22"/>
          <w:lang w:val="ru-RU"/>
        </w:rPr>
        <w:t>например</w:t>
      </w:r>
      <w:r w:rsidRPr="00A1680F">
        <w:rPr>
          <w:rFonts w:cs="Times New Roman"/>
          <w:sz w:val="22"/>
          <w:szCs w:val="22"/>
          <w:lang w:val="ru-RU"/>
        </w:rPr>
        <w:t xml:space="preserve">, </w:t>
      </w:r>
      <w:r w:rsidRPr="00007514">
        <w:rPr>
          <w:rFonts w:cs="Times New Roman"/>
          <w:sz w:val="22"/>
          <w:szCs w:val="22"/>
          <w:lang w:val="ru-RU"/>
        </w:rPr>
        <w:t>с</w:t>
      </w:r>
      <w:r w:rsidRPr="00A1680F">
        <w:rPr>
          <w:rFonts w:cs="Times New Roman"/>
          <w:sz w:val="22"/>
          <w:szCs w:val="22"/>
          <w:lang w:val="ru-RU"/>
        </w:rPr>
        <w:t xml:space="preserve">. 14 </w:t>
      </w:r>
      <w:r w:rsidRPr="00007514">
        <w:rPr>
          <w:rFonts w:cs="Times New Roman"/>
          <w:sz w:val="22"/>
          <w:szCs w:val="22"/>
          <w:lang w:val="ru-RU"/>
        </w:rPr>
        <w:t>или</w:t>
      </w:r>
      <w:r w:rsidRPr="00A1680F">
        <w:rPr>
          <w:rFonts w:cs="Times New Roman"/>
          <w:sz w:val="22"/>
          <w:szCs w:val="22"/>
          <w:lang w:val="ru-RU"/>
        </w:rPr>
        <w:t xml:space="preserve"> </w:t>
      </w:r>
      <w:r w:rsidRPr="00007514">
        <w:rPr>
          <w:rFonts w:cs="Times New Roman"/>
          <w:sz w:val="22"/>
          <w:szCs w:val="22"/>
          <w:lang w:val="ru-RU"/>
        </w:rPr>
        <w:t>с</w:t>
      </w:r>
      <w:r w:rsidRPr="00A1680F">
        <w:rPr>
          <w:rFonts w:cs="Times New Roman"/>
          <w:sz w:val="22"/>
          <w:szCs w:val="22"/>
          <w:lang w:val="ru-RU"/>
        </w:rPr>
        <w:t>. 17.</w:t>
      </w:r>
    </w:p>
  </w:footnote>
  <w:footnote w:id="5">
    <w:p w14:paraId="569D8196" w14:textId="457516AD" w:rsidR="00AF5B06" w:rsidRPr="00AF5B06" w:rsidRDefault="00AF5B06">
      <w:pPr>
        <w:pStyle w:val="a3"/>
        <w:rPr>
          <w:lang w:val="ru-RU"/>
        </w:rPr>
      </w:pPr>
      <w:r>
        <w:rPr>
          <w:rStyle w:val="a5"/>
        </w:rPr>
        <w:footnoteRef/>
      </w:r>
      <w:r w:rsidRPr="00AF5B06">
        <w:rPr>
          <w:lang w:val="ru-RU"/>
        </w:rPr>
        <w:t xml:space="preserve"> </w:t>
      </w:r>
      <w:r>
        <w:rPr>
          <w:lang w:val="ru-RU"/>
        </w:rPr>
        <w:t>По данным раздела 10 рейтинга субъектов Российской Федерации по уровню открытости бюджетных данных за 2021 год 24 региона осуществляют такую практику.</w:t>
      </w:r>
    </w:p>
  </w:footnote>
  <w:footnote w:id="6">
    <w:p w14:paraId="62C00A5B" w14:textId="77777777" w:rsidR="00A960E9" w:rsidRPr="00A1680F" w:rsidRDefault="00A960E9" w:rsidP="00A1680F">
      <w:pPr>
        <w:pStyle w:val="a7"/>
        <w:tabs>
          <w:tab w:val="left" w:pos="1134"/>
        </w:tabs>
        <w:spacing w:after="60" w:line="240" w:lineRule="auto"/>
        <w:ind w:left="0"/>
        <w:contextualSpacing w:val="0"/>
        <w:rPr>
          <w:rFonts w:cs="Times New Roman"/>
          <w:bCs/>
          <w:caps/>
          <w:sz w:val="22"/>
          <w:szCs w:val="22"/>
          <w:lang w:val="ru-RU"/>
        </w:rPr>
      </w:pPr>
      <w:r w:rsidRPr="00A1680F">
        <w:rPr>
          <w:rStyle w:val="a5"/>
          <w:rFonts w:cs="Times New Roman"/>
          <w:sz w:val="22"/>
          <w:szCs w:val="22"/>
        </w:rPr>
        <w:footnoteRef/>
      </w:r>
      <w:r w:rsidRPr="00A1680F">
        <w:rPr>
          <w:rFonts w:cs="Times New Roman"/>
          <w:sz w:val="22"/>
          <w:szCs w:val="22"/>
          <w:lang w:val="ru-RU"/>
        </w:rPr>
        <w:t xml:space="preserve"> См. пункты 25–28, 30, 32–36 Свода предложений и замечаний к проекту Методики составления рейтинга субъектов Российской Федерации по уровню открытости бюджетных данных за 2021 год (по состоянию на 05.02.2021). </w:t>
      </w:r>
      <w:r w:rsidRPr="00A1680F">
        <w:rPr>
          <w:rFonts w:cs="Times New Roman"/>
          <w:sz w:val="22"/>
          <w:szCs w:val="22"/>
        </w:rPr>
        <w:t>URL</w:t>
      </w:r>
      <w:r w:rsidRPr="00A1680F">
        <w:rPr>
          <w:rFonts w:cs="Times New Roman"/>
          <w:sz w:val="22"/>
          <w:szCs w:val="22"/>
          <w:lang w:val="ru-RU"/>
        </w:rPr>
        <w:t xml:space="preserve">: </w:t>
      </w:r>
      <w:hyperlink r:id="rId4" w:history="1">
        <w:r w:rsidRPr="00A1680F">
          <w:rPr>
            <w:rStyle w:val="a6"/>
            <w:rFonts w:cs="Times New Roman"/>
            <w:sz w:val="22"/>
            <w:szCs w:val="22"/>
          </w:rPr>
          <w:t>https</w:t>
        </w:r>
        <w:r w:rsidRPr="00A1680F">
          <w:rPr>
            <w:rStyle w:val="a6"/>
            <w:rFonts w:cs="Times New Roman"/>
            <w:sz w:val="22"/>
            <w:szCs w:val="22"/>
            <w:lang w:val="ru-RU"/>
          </w:rPr>
          <w:t>://</w:t>
        </w:r>
        <w:proofErr w:type="spellStart"/>
        <w:r w:rsidRPr="00A1680F">
          <w:rPr>
            <w:rStyle w:val="a6"/>
            <w:rFonts w:cs="Times New Roman"/>
            <w:sz w:val="22"/>
            <w:szCs w:val="22"/>
          </w:rPr>
          <w:t>nifi</w:t>
        </w:r>
        <w:proofErr w:type="spellEnd"/>
        <w:r w:rsidRPr="00A1680F">
          <w:rPr>
            <w:rStyle w:val="a6"/>
            <w:rFonts w:cs="Times New Roman"/>
            <w:sz w:val="22"/>
            <w:szCs w:val="22"/>
            <w:lang w:val="ru-RU"/>
          </w:rPr>
          <w:t>.</w:t>
        </w:r>
        <w:proofErr w:type="spellStart"/>
        <w:r w:rsidRPr="00A1680F">
          <w:rPr>
            <w:rStyle w:val="a6"/>
            <w:rFonts w:cs="Times New Roman"/>
            <w:sz w:val="22"/>
            <w:szCs w:val="22"/>
          </w:rPr>
          <w:t>ru</w:t>
        </w:r>
        <w:proofErr w:type="spellEnd"/>
        <w:r w:rsidRPr="00A1680F">
          <w:rPr>
            <w:rStyle w:val="a6"/>
            <w:rFonts w:cs="Times New Roman"/>
            <w:sz w:val="22"/>
            <w:szCs w:val="22"/>
            <w:lang w:val="ru-RU"/>
          </w:rPr>
          <w:t>/</w:t>
        </w:r>
        <w:proofErr w:type="spellStart"/>
        <w:r w:rsidRPr="00A1680F">
          <w:rPr>
            <w:rStyle w:val="a6"/>
            <w:rFonts w:cs="Times New Roman"/>
            <w:sz w:val="22"/>
            <w:szCs w:val="22"/>
          </w:rPr>
          <w:t>ru</w:t>
        </w:r>
        <w:proofErr w:type="spellEnd"/>
        <w:r w:rsidRPr="00A1680F">
          <w:rPr>
            <w:rStyle w:val="a6"/>
            <w:rFonts w:cs="Times New Roman"/>
            <w:sz w:val="22"/>
            <w:szCs w:val="22"/>
            <w:lang w:val="ru-RU"/>
          </w:rPr>
          <w:t>/</w:t>
        </w:r>
        <w:r w:rsidRPr="00A1680F">
          <w:rPr>
            <w:rStyle w:val="a6"/>
            <w:rFonts w:cs="Times New Roman"/>
            <w:sz w:val="22"/>
            <w:szCs w:val="22"/>
          </w:rPr>
          <w:t>rating</w:t>
        </w:r>
      </w:hyperlink>
      <w:r w:rsidRPr="00A1680F">
        <w:rPr>
          <w:rFonts w:cs="Times New Roman"/>
          <w:sz w:val="22"/>
          <w:szCs w:val="22"/>
          <w:lang w:val="ru-RU"/>
        </w:rPr>
        <w:t xml:space="preserve"> (дата обращения 31.10.2021).</w:t>
      </w:r>
    </w:p>
    <w:p w14:paraId="7C5A3692" w14:textId="77777777" w:rsidR="00A960E9" w:rsidRPr="001C3E26" w:rsidRDefault="00A960E9" w:rsidP="00007514">
      <w:pPr>
        <w:pStyle w:val="a3"/>
        <w:spacing w:after="60"/>
        <w:ind w:firstLine="709"/>
        <w:rPr>
          <w:rFonts w:cs="Times New Roman"/>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1EF0"/>
    <w:multiLevelType w:val="hybridMultilevel"/>
    <w:tmpl w:val="3BE669EC"/>
    <w:lvl w:ilvl="0" w:tplc="CC36D36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24684"/>
    <w:multiLevelType w:val="hybridMultilevel"/>
    <w:tmpl w:val="9C48F55C"/>
    <w:lvl w:ilvl="0" w:tplc="6B9837B0">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3591F"/>
    <w:multiLevelType w:val="hybridMultilevel"/>
    <w:tmpl w:val="7EB084CA"/>
    <w:lvl w:ilvl="0" w:tplc="CC36D36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1231DE"/>
    <w:multiLevelType w:val="hybridMultilevel"/>
    <w:tmpl w:val="FBEAEF68"/>
    <w:lvl w:ilvl="0" w:tplc="203A9990">
      <w:start w:val="1"/>
      <w:numFmt w:val="russianLower"/>
      <w:lvlText w:val="%1)"/>
      <w:lvlJc w:val="left"/>
      <w:pPr>
        <w:ind w:left="1494" w:hanging="360"/>
      </w:pPr>
      <w:rPr>
        <w:rFonts w:ascii="Times New Roman" w:hAnsi="Times New Roman" w:hint="default"/>
        <w:b w:val="0"/>
        <w:i w:val="0"/>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AE566EF"/>
    <w:multiLevelType w:val="multilevel"/>
    <w:tmpl w:val="506CAA2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1224AF6"/>
    <w:multiLevelType w:val="hybridMultilevel"/>
    <w:tmpl w:val="53E83E5E"/>
    <w:lvl w:ilvl="0" w:tplc="5DF04520">
      <w:start w:val="1"/>
      <w:numFmt w:val="decimal"/>
      <w:lvlText w:val="%1)"/>
      <w:lvlJc w:val="left"/>
      <w:pPr>
        <w:ind w:left="720" w:hanging="360"/>
      </w:pPr>
      <w:rPr>
        <w:rFonts w:hint="default"/>
        <w:b w:val="0"/>
        <w:i w:val="0"/>
        <w:sz w:val="22"/>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F30282"/>
    <w:multiLevelType w:val="hybridMultilevel"/>
    <w:tmpl w:val="DEAE646A"/>
    <w:lvl w:ilvl="0" w:tplc="66FEABCE">
      <w:start w:val="1"/>
      <w:numFmt w:val="russianLower"/>
      <w:lvlText w:val="%1)"/>
      <w:lvlJc w:val="left"/>
      <w:pPr>
        <w:ind w:left="1037" w:hanging="360"/>
      </w:pPr>
      <w:rPr>
        <w:rFonts w:ascii="Times New Roman" w:hAnsi="Times New Roman" w:cs="Times New Roman" w:hint="default"/>
        <w:b w:val="0"/>
        <w:i w:val="0"/>
        <w:sz w:val="24"/>
        <w:szCs w:val="28"/>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A8150F5"/>
    <w:multiLevelType w:val="hybridMultilevel"/>
    <w:tmpl w:val="1B6ED0BE"/>
    <w:lvl w:ilvl="0" w:tplc="171AC0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2F0F9A"/>
    <w:multiLevelType w:val="hybridMultilevel"/>
    <w:tmpl w:val="725EE3E0"/>
    <w:lvl w:ilvl="0" w:tplc="66FEABCE">
      <w:start w:val="1"/>
      <w:numFmt w:val="russianLower"/>
      <w:lvlText w:val="%1)"/>
      <w:lvlJc w:val="left"/>
      <w:pPr>
        <w:ind w:left="754" w:hanging="360"/>
      </w:pPr>
      <w:rPr>
        <w:rFonts w:ascii="Times New Roman" w:hAnsi="Times New Roman" w:cs="Times New Roman" w:hint="default"/>
        <w:b w:val="0"/>
        <w:i w:val="0"/>
        <w:sz w:val="24"/>
        <w:szCs w:val="28"/>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15:restartNumberingAfterBreak="0">
    <w:nsid w:val="3BDC33A9"/>
    <w:multiLevelType w:val="hybridMultilevel"/>
    <w:tmpl w:val="A5F64956"/>
    <w:lvl w:ilvl="0" w:tplc="D6BEDF78">
      <w:start w:val="1"/>
      <w:numFmt w:val="decimal"/>
      <w:suff w:val="space"/>
      <w:lvlText w:val="%1."/>
      <w:lvlJc w:val="left"/>
      <w:pPr>
        <w:ind w:left="0" w:firstLine="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EC13690"/>
    <w:multiLevelType w:val="hybridMultilevel"/>
    <w:tmpl w:val="BC965CB2"/>
    <w:lvl w:ilvl="0" w:tplc="171AC02C">
      <w:start w:val="1"/>
      <w:numFmt w:val="bullet"/>
      <w:lvlText w:val="˗"/>
      <w:lvlJc w:val="left"/>
      <w:pPr>
        <w:ind w:left="1494"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0560C2"/>
    <w:multiLevelType w:val="hybridMultilevel"/>
    <w:tmpl w:val="9E0E3034"/>
    <w:lvl w:ilvl="0" w:tplc="04190011">
      <w:start w:val="1"/>
      <w:numFmt w:val="decimal"/>
      <w:lvlText w:val="%1)"/>
      <w:lvlJc w:val="left"/>
      <w:pPr>
        <w:ind w:left="546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AC4791"/>
    <w:multiLevelType w:val="hybridMultilevel"/>
    <w:tmpl w:val="00529050"/>
    <w:lvl w:ilvl="0" w:tplc="D12AC9B8">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0DA1141"/>
    <w:multiLevelType w:val="hybridMultilevel"/>
    <w:tmpl w:val="37841E26"/>
    <w:lvl w:ilvl="0" w:tplc="171AC02C">
      <w:start w:val="1"/>
      <w:numFmt w:val="bullet"/>
      <w:lvlText w:val="˗"/>
      <w:lvlJc w:val="left"/>
      <w:pPr>
        <w:ind w:left="720" w:hanging="360"/>
      </w:pPr>
      <w:rPr>
        <w:rFonts w:ascii="Times New Roman" w:hAnsi="Times New Roman" w:cs="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9014F2"/>
    <w:multiLevelType w:val="hybridMultilevel"/>
    <w:tmpl w:val="551ED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E47113"/>
    <w:multiLevelType w:val="hybridMultilevel"/>
    <w:tmpl w:val="56F0BCD4"/>
    <w:lvl w:ilvl="0" w:tplc="66FEABCE">
      <w:start w:val="1"/>
      <w:numFmt w:val="russianLower"/>
      <w:lvlText w:val="%1)"/>
      <w:lvlJc w:val="left"/>
      <w:pPr>
        <w:ind w:left="720" w:hanging="360"/>
      </w:pPr>
      <w:rPr>
        <w:rFonts w:ascii="Times New Roman" w:hAnsi="Times New Roman" w:cs="Times New Roman" w:hint="default"/>
        <w:b w:val="0"/>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CC3F12"/>
    <w:multiLevelType w:val="hybridMultilevel"/>
    <w:tmpl w:val="47260A84"/>
    <w:lvl w:ilvl="0" w:tplc="D558253E">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EF6989"/>
    <w:multiLevelType w:val="hybridMultilevel"/>
    <w:tmpl w:val="D70A1396"/>
    <w:lvl w:ilvl="0" w:tplc="F716AAB4">
      <w:start w:val="1"/>
      <w:numFmt w:val="russianLower"/>
      <w:lvlText w:val="%1)"/>
      <w:lvlJc w:val="left"/>
      <w:pPr>
        <w:ind w:left="1494"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258E7"/>
    <w:multiLevelType w:val="hybridMultilevel"/>
    <w:tmpl w:val="AAFE7E5A"/>
    <w:lvl w:ilvl="0" w:tplc="0544408A">
      <w:start w:val="1"/>
      <w:numFmt w:val="russianLower"/>
      <w:lvlText w:val="%1)"/>
      <w:lvlJc w:val="left"/>
      <w:pPr>
        <w:ind w:left="1494"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77568D"/>
    <w:multiLevelType w:val="hybridMultilevel"/>
    <w:tmpl w:val="53729F96"/>
    <w:lvl w:ilvl="0" w:tplc="171AC0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170441"/>
    <w:multiLevelType w:val="multilevel"/>
    <w:tmpl w:val="84D42AC4"/>
    <w:lvl w:ilvl="0">
      <w:start w:val="1"/>
      <w:numFmt w:val="decimal"/>
      <w:lvlText w:val="%1."/>
      <w:lvlJc w:val="left"/>
      <w:pPr>
        <w:ind w:left="1069" w:hanging="360"/>
      </w:pPr>
      <w:rPr>
        <w:rFonts w:hint="default"/>
      </w:rPr>
    </w:lvl>
    <w:lvl w:ilvl="1">
      <w:start w:val="1"/>
      <w:numFmt w:val="decimal"/>
      <w:isLgl/>
      <w:lvlText w:val="%1.%2."/>
      <w:lvlJc w:val="left"/>
      <w:pPr>
        <w:ind w:left="4123"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75CA1E68"/>
    <w:multiLevelType w:val="hybridMultilevel"/>
    <w:tmpl w:val="890870DE"/>
    <w:lvl w:ilvl="0" w:tplc="CC36D368">
      <w:start w:val="1"/>
      <w:numFmt w:val="russianLower"/>
      <w:lvlText w:val="%1)"/>
      <w:lvlJc w:val="left"/>
      <w:pPr>
        <w:ind w:left="720" w:hanging="360"/>
      </w:pPr>
      <w:rPr>
        <w:rFonts w:ascii="Times New Roman" w:hAnsi="Times New Roman" w:cs="Times New Roman" w:hint="default"/>
        <w:b w:val="0"/>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AC0FC1"/>
    <w:multiLevelType w:val="hybridMultilevel"/>
    <w:tmpl w:val="248213EE"/>
    <w:lvl w:ilvl="0" w:tplc="48601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245602"/>
    <w:multiLevelType w:val="hybridMultilevel"/>
    <w:tmpl w:val="B7D6438E"/>
    <w:lvl w:ilvl="0" w:tplc="48601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266B04"/>
    <w:multiLevelType w:val="hybridMultilevel"/>
    <w:tmpl w:val="F7007CAA"/>
    <w:lvl w:ilvl="0" w:tplc="088C45A2">
      <w:start w:val="1"/>
      <w:numFmt w:val="russianLower"/>
      <w:lvlText w:val="%1)"/>
      <w:lvlJc w:val="left"/>
      <w:pPr>
        <w:ind w:left="5464" w:hanging="360"/>
      </w:pPr>
      <w:rPr>
        <w:rFonts w:ascii="Times New Roman" w:hAnsi="Times New Roman"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2"/>
  </w:num>
  <w:num w:numId="3">
    <w:abstractNumId w:val="11"/>
  </w:num>
  <w:num w:numId="4">
    <w:abstractNumId w:val="14"/>
  </w:num>
  <w:num w:numId="5">
    <w:abstractNumId w:val="2"/>
  </w:num>
  <w:num w:numId="6">
    <w:abstractNumId w:val="16"/>
  </w:num>
  <w:num w:numId="7">
    <w:abstractNumId w:val="12"/>
  </w:num>
  <w:num w:numId="8">
    <w:abstractNumId w:val="24"/>
  </w:num>
  <w:num w:numId="9">
    <w:abstractNumId w:val="3"/>
  </w:num>
  <w:num w:numId="10">
    <w:abstractNumId w:val="1"/>
  </w:num>
  <w:num w:numId="11">
    <w:abstractNumId w:val="13"/>
  </w:num>
  <w:num w:numId="12">
    <w:abstractNumId w:val="0"/>
  </w:num>
  <w:num w:numId="13">
    <w:abstractNumId w:val="21"/>
  </w:num>
  <w:num w:numId="14">
    <w:abstractNumId w:val="8"/>
  </w:num>
  <w:num w:numId="15">
    <w:abstractNumId w:val="6"/>
  </w:num>
  <w:num w:numId="16">
    <w:abstractNumId w:val="15"/>
  </w:num>
  <w:num w:numId="17">
    <w:abstractNumId w:val="9"/>
  </w:num>
  <w:num w:numId="18">
    <w:abstractNumId w:val="20"/>
  </w:num>
  <w:num w:numId="19">
    <w:abstractNumId w:val="23"/>
  </w:num>
  <w:num w:numId="20">
    <w:abstractNumId w:val="4"/>
  </w:num>
  <w:num w:numId="21">
    <w:abstractNumId w:val="5"/>
  </w:num>
  <w:num w:numId="22">
    <w:abstractNumId w:val="7"/>
  </w:num>
  <w:num w:numId="23">
    <w:abstractNumId w:val="10"/>
  </w:num>
  <w:num w:numId="24">
    <w:abstractNumId w:val="17"/>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A1"/>
    <w:rsid w:val="00007514"/>
    <w:rsid w:val="00035900"/>
    <w:rsid w:val="00093C5A"/>
    <w:rsid w:val="000A7A89"/>
    <w:rsid w:val="000B1058"/>
    <w:rsid w:val="000B583A"/>
    <w:rsid w:val="00113DB0"/>
    <w:rsid w:val="0013204A"/>
    <w:rsid w:val="001C0291"/>
    <w:rsid w:val="001C270E"/>
    <w:rsid w:val="001D2CAF"/>
    <w:rsid w:val="00221876"/>
    <w:rsid w:val="00232D4F"/>
    <w:rsid w:val="0028576D"/>
    <w:rsid w:val="002A0A21"/>
    <w:rsid w:val="002A4B02"/>
    <w:rsid w:val="002A6B0F"/>
    <w:rsid w:val="002A7EC1"/>
    <w:rsid w:val="002B04FC"/>
    <w:rsid w:val="002F30D3"/>
    <w:rsid w:val="003077DE"/>
    <w:rsid w:val="00326167"/>
    <w:rsid w:val="00346645"/>
    <w:rsid w:val="003700B0"/>
    <w:rsid w:val="00385B06"/>
    <w:rsid w:val="003C328E"/>
    <w:rsid w:val="004135C0"/>
    <w:rsid w:val="00445009"/>
    <w:rsid w:val="00497CB4"/>
    <w:rsid w:val="004A410D"/>
    <w:rsid w:val="004C4834"/>
    <w:rsid w:val="0051564A"/>
    <w:rsid w:val="005675D1"/>
    <w:rsid w:val="00577892"/>
    <w:rsid w:val="005B7A61"/>
    <w:rsid w:val="005C7B35"/>
    <w:rsid w:val="005E7CFF"/>
    <w:rsid w:val="00694C8E"/>
    <w:rsid w:val="00694D3F"/>
    <w:rsid w:val="006B6842"/>
    <w:rsid w:val="007010DE"/>
    <w:rsid w:val="00705767"/>
    <w:rsid w:val="007407A1"/>
    <w:rsid w:val="007A0A2E"/>
    <w:rsid w:val="00811CCD"/>
    <w:rsid w:val="0081480D"/>
    <w:rsid w:val="008521B6"/>
    <w:rsid w:val="0089296E"/>
    <w:rsid w:val="008C012E"/>
    <w:rsid w:val="008E6BE4"/>
    <w:rsid w:val="008F0E12"/>
    <w:rsid w:val="0094215B"/>
    <w:rsid w:val="00960F1F"/>
    <w:rsid w:val="009F3344"/>
    <w:rsid w:val="009F676B"/>
    <w:rsid w:val="00A1680F"/>
    <w:rsid w:val="00A345E6"/>
    <w:rsid w:val="00A80FEF"/>
    <w:rsid w:val="00A86484"/>
    <w:rsid w:val="00A960E9"/>
    <w:rsid w:val="00AA5213"/>
    <w:rsid w:val="00AE7CEF"/>
    <w:rsid w:val="00AF5B06"/>
    <w:rsid w:val="00B07AF8"/>
    <w:rsid w:val="00B529A0"/>
    <w:rsid w:val="00B70C39"/>
    <w:rsid w:val="00B75B7D"/>
    <w:rsid w:val="00BB524B"/>
    <w:rsid w:val="00BC178C"/>
    <w:rsid w:val="00BC438B"/>
    <w:rsid w:val="00C35AAE"/>
    <w:rsid w:val="00C44270"/>
    <w:rsid w:val="00C475E6"/>
    <w:rsid w:val="00C85718"/>
    <w:rsid w:val="00CA72D9"/>
    <w:rsid w:val="00CC5D59"/>
    <w:rsid w:val="00CD3D3A"/>
    <w:rsid w:val="00CD5B70"/>
    <w:rsid w:val="00CF200B"/>
    <w:rsid w:val="00D16B63"/>
    <w:rsid w:val="00D364D8"/>
    <w:rsid w:val="00D852A8"/>
    <w:rsid w:val="00DB2E3E"/>
    <w:rsid w:val="00DE6C5C"/>
    <w:rsid w:val="00E22F9B"/>
    <w:rsid w:val="00E272D2"/>
    <w:rsid w:val="00E4286C"/>
    <w:rsid w:val="00E64737"/>
    <w:rsid w:val="00E83CA0"/>
    <w:rsid w:val="00E9470B"/>
    <w:rsid w:val="00E96BBC"/>
    <w:rsid w:val="00EA4444"/>
    <w:rsid w:val="00F03FB5"/>
    <w:rsid w:val="00F34EF8"/>
    <w:rsid w:val="00F63F19"/>
    <w:rsid w:val="00F91F03"/>
    <w:rsid w:val="00FA075E"/>
    <w:rsid w:val="00FB26CC"/>
    <w:rsid w:val="00FF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45E8"/>
  <w15:chartTrackingRefBased/>
  <w15:docId w15:val="{3E4B561C-E3BA-410C-A1A2-692C74BA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007514"/>
    <w:pPr>
      <w:spacing w:after="0" w:line="240" w:lineRule="auto"/>
      <w:ind w:firstLine="720"/>
      <w:jc w:val="both"/>
    </w:pPr>
    <w:rPr>
      <w:rFonts w:ascii="Times New Roman" w:hAnsi="Times New Roman"/>
      <w:color w:val="000000"/>
      <w:sz w:val="20"/>
      <w:szCs w:val="20"/>
      <w:lang w:val="en-US"/>
    </w:rPr>
  </w:style>
  <w:style w:type="character" w:customStyle="1" w:styleId="a4">
    <w:name w:val="Текст сноски Знак"/>
    <w:basedOn w:val="a0"/>
    <w:link w:val="a3"/>
    <w:uiPriority w:val="99"/>
    <w:rsid w:val="00007514"/>
    <w:rPr>
      <w:rFonts w:ascii="Times New Roman" w:hAnsi="Times New Roman"/>
      <w:color w:val="000000"/>
      <w:sz w:val="20"/>
      <w:szCs w:val="20"/>
      <w:lang w:val="en-US"/>
    </w:rPr>
  </w:style>
  <w:style w:type="character" w:styleId="a5">
    <w:name w:val="footnote reference"/>
    <w:basedOn w:val="a0"/>
    <w:uiPriority w:val="99"/>
    <w:unhideWhenUsed/>
    <w:rsid w:val="00007514"/>
    <w:rPr>
      <w:vertAlign w:val="superscript"/>
    </w:rPr>
  </w:style>
  <w:style w:type="character" w:styleId="a6">
    <w:name w:val="Hyperlink"/>
    <w:basedOn w:val="a0"/>
    <w:uiPriority w:val="99"/>
    <w:unhideWhenUsed/>
    <w:rsid w:val="00007514"/>
    <w:rPr>
      <w:color w:val="0563C1" w:themeColor="hyperlink"/>
      <w:u w:val="single"/>
    </w:rPr>
  </w:style>
  <w:style w:type="paragraph" w:styleId="a7">
    <w:name w:val="List Paragraph"/>
    <w:aliases w:val="ПАРАГРАФ"/>
    <w:basedOn w:val="a"/>
    <w:link w:val="a8"/>
    <w:uiPriority w:val="34"/>
    <w:unhideWhenUsed/>
    <w:qFormat/>
    <w:rsid w:val="00A1680F"/>
    <w:pPr>
      <w:spacing w:after="0" w:line="360" w:lineRule="auto"/>
      <w:ind w:left="720" w:firstLine="720"/>
      <w:contextualSpacing/>
      <w:jc w:val="both"/>
    </w:pPr>
    <w:rPr>
      <w:rFonts w:ascii="Times New Roman" w:hAnsi="Times New Roman"/>
      <w:color w:val="000000" w:themeColor="text1"/>
      <w:sz w:val="28"/>
      <w:szCs w:val="28"/>
      <w:lang w:val="en-US"/>
    </w:rPr>
  </w:style>
  <w:style w:type="character" w:customStyle="1" w:styleId="a8">
    <w:name w:val="Абзац списка Знак"/>
    <w:aliases w:val="ПАРАГРАФ Знак"/>
    <w:link w:val="a7"/>
    <w:uiPriority w:val="34"/>
    <w:rsid w:val="00A1680F"/>
    <w:rPr>
      <w:rFonts w:ascii="Times New Roman" w:hAnsi="Times New Roman"/>
      <w:color w:val="000000" w:themeColor="text1"/>
      <w:sz w:val="28"/>
      <w:szCs w:val="28"/>
      <w:lang w:val="en-US"/>
    </w:rPr>
  </w:style>
  <w:style w:type="paragraph" w:styleId="a9">
    <w:name w:val="header"/>
    <w:basedOn w:val="a"/>
    <w:link w:val="aa"/>
    <w:uiPriority w:val="99"/>
    <w:unhideWhenUsed/>
    <w:rsid w:val="00DE6C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E6C5C"/>
  </w:style>
  <w:style w:type="paragraph" w:styleId="ab">
    <w:name w:val="footer"/>
    <w:basedOn w:val="a"/>
    <w:link w:val="ac"/>
    <w:uiPriority w:val="99"/>
    <w:unhideWhenUsed/>
    <w:rsid w:val="00DE6C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6C5C"/>
  </w:style>
  <w:style w:type="paragraph" w:styleId="ad">
    <w:name w:val="Balloon Text"/>
    <w:basedOn w:val="a"/>
    <w:link w:val="ae"/>
    <w:uiPriority w:val="99"/>
    <w:semiHidden/>
    <w:unhideWhenUsed/>
    <w:rsid w:val="00BC438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C438B"/>
    <w:rPr>
      <w:rFonts w:ascii="Segoe UI" w:hAnsi="Segoe UI" w:cs="Segoe UI"/>
      <w:sz w:val="18"/>
      <w:szCs w:val="18"/>
    </w:rPr>
  </w:style>
  <w:style w:type="paragraph" w:styleId="af">
    <w:name w:val="Revision"/>
    <w:hidden/>
    <w:uiPriority w:val="99"/>
    <w:semiHidden/>
    <w:rsid w:val="002A0A21"/>
    <w:pPr>
      <w:spacing w:after="0" w:line="240" w:lineRule="auto"/>
    </w:pPr>
  </w:style>
  <w:style w:type="character" w:styleId="af0">
    <w:name w:val="annotation reference"/>
    <w:basedOn w:val="a0"/>
    <w:uiPriority w:val="99"/>
    <w:semiHidden/>
    <w:unhideWhenUsed/>
    <w:rsid w:val="00CC5D59"/>
    <w:rPr>
      <w:sz w:val="16"/>
      <w:szCs w:val="16"/>
    </w:rPr>
  </w:style>
  <w:style w:type="paragraph" w:styleId="af1">
    <w:name w:val="annotation text"/>
    <w:basedOn w:val="a"/>
    <w:link w:val="af2"/>
    <w:uiPriority w:val="99"/>
    <w:semiHidden/>
    <w:unhideWhenUsed/>
    <w:rsid w:val="00CC5D59"/>
    <w:pPr>
      <w:spacing w:line="240" w:lineRule="auto"/>
    </w:pPr>
    <w:rPr>
      <w:sz w:val="20"/>
      <w:szCs w:val="20"/>
    </w:rPr>
  </w:style>
  <w:style w:type="character" w:customStyle="1" w:styleId="af2">
    <w:name w:val="Текст примечания Знак"/>
    <w:basedOn w:val="a0"/>
    <w:link w:val="af1"/>
    <w:uiPriority w:val="99"/>
    <w:semiHidden/>
    <w:rsid w:val="00CC5D59"/>
    <w:rPr>
      <w:sz w:val="20"/>
      <w:szCs w:val="20"/>
    </w:rPr>
  </w:style>
  <w:style w:type="paragraph" w:styleId="af3">
    <w:name w:val="annotation subject"/>
    <w:basedOn w:val="af1"/>
    <w:next w:val="af1"/>
    <w:link w:val="af4"/>
    <w:uiPriority w:val="99"/>
    <w:semiHidden/>
    <w:unhideWhenUsed/>
    <w:rsid w:val="00CC5D59"/>
    <w:rPr>
      <w:b/>
      <w:bCs/>
    </w:rPr>
  </w:style>
  <w:style w:type="character" w:customStyle="1" w:styleId="af4">
    <w:name w:val="Тема примечания Знак"/>
    <w:basedOn w:val="af2"/>
    <w:link w:val="af3"/>
    <w:uiPriority w:val="99"/>
    <w:semiHidden/>
    <w:rsid w:val="00CC5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99656">
      <w:bodyDiv w:val="1"/>
      <w:marLeft w:val="0"/>
      <w:marRight w:val="0"/>
      <w:marTop w:val="0"/>
      <w:marBottom w:val="0"/>
      <w:divBdr>
        <w:top w:val="none" w:sz="0" w:space="0" w:color="auto"/>
        <w:left w:val="none" w:sz="0" w:space="0" w:color="auto"/>
        <w:bottom w:val="none" w:sz="0" w:space="0" w:color="auto"/>
        <w:right w:val="none" w:sz="0" w:space="0" w:color="auto"/>
      </w:divBdr>
    </w:div>
    <w:div w:id="6971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budget.org/sites/default/files/2020-04/2019_Guide_and_Questionnaire_EN.pdf" TargetMode="External"/><Relationship Id="rId2" Type="http://schemas.openxmlformats.org/officeDocument/2006/relationships/hyperlink" Target="http://www.nifi.ru/ru/rating" TargetMode="External"/><Relationship Id="rId1" Type="http://schemas.openxmlformats.org/officeDocument/2006/relationships/hyperlink" Target="https://www.internationalbudget.org/sites/default/files/2020-04/2019_Guide_and_Questionnaire_EN.pdf" TargetMode="External"/><Relationship Id="rId4" Type="http://schemas.openxmlformats.org/officeDocument/2006/relationships/hyperlink" Target="https://nifi.ru/ru/ra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4C90-7677-4739-A64F-4EDF79F2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7188</Words>
  <Characters>40973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NIFI</Company>
  <LinksUpToDate>false</LinksUpToDate>
  <CharactersWithSpaces>48065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Ольга</cp:lastModifiedBy>
  <cp:revision>6</cp:revision>
  <dcterms:created xsi:type="dcterms:W3CDTF">2021-12-09T16:36:00Z</dcterms:created>
  <dcterms:modified xsi:type="dcterms:W3CDTF">2021-12-13T14:42:00Z</dcterms:modified>
</cp:coreProperties>
</file>